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Objection to the third-party (garnishee) recovery initiated under Section 79(1)(c) against the Company's debtor while the Show Cause Notice under Section 73/74 remains unadjudicated, there being no ‘amount payable’ to recover, and request for immediate withdrawal of the garnishee notice — recovery notice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under Section 73/74 dated [____] (reply filed, adjudication pending); notice to the Company's debtor under Section 79(1)(c)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authority is marked [VERIFY] for a final check before filing, save the verified Radha Krishan particulars. The facts (an SCN under Section 73/74 to which a reply with a hearing request and adjournment was filed; a Section 79(1)(c) garnishee notice issued to the Company's debtor before any adjudication)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While the Show Cause Notice under Section 73/74 against the Company remains </w:t>
      </w:r>
      <w:r>
        <w:rPr>
          <w:rFonts w:ascii="Times New Roman" w:cs="Times New Roman" w:eastAsia="Times New Roman" w:hAnsi="Times New Roman"/>
          <w:b/>
          <w:bCs/>
          <w:i w:val="false"/>
          <w:iCs w:val="false"/>
          <w:caps w:val="false"/>
          <w:sz w:val="24"/>
          <w:szCs w:val="24"/>
        </w:rPr>
        <w:t xml:space="preserve">unadjudicated</w:t>
      </w:r>
      <w:r>
        <w:rPr>
          <w:rFonts w:ascii="Times New Roman" w:cs="Times New Roman" w:eastAsia="Times New Roman" w:hAnsi="Times New Roman"/>
          <w:b w:val="false"/>
          <w:bCs w:val="false"/>
          <w:i w:val="false"/>
          <w:iCs w:val="false"/>
          <w:caps w:val="false"/>
          <w:sz w:val="24"/>
          <w:szCs w:val="24"/>
        </w:rPr>
        <w:t xml:space="preserve"> — the Company having filed its reply and sought a hearing — the Department has issued a notice to the Company's debtor under Section 79(1)(c), directing the debtor to pay the Company's dues directly to the Department. The recovery is wholly without authority. Section 79 is a machinery for recovering an ‘amount payable’; an amount becomes payable only upon </w:t>
      </w:r>
      <w:r>
        <w:rPr>
          <w:rFonts w:ascii="Times New Roman" w:cs="Times New Roman" w:eastAsia="Times New Roman" w:hAnsi="Times New Roman"/>
          <w:b/>
          <w:bCs/>
          <w:i w:val="false"/>
          <w:iCs w:val="false"/>
          <w:caps w:val="false"/>
          <w:sz w:val="24"/>
          <w:szCs w:val="24"/>
        </w:rPr>
        <w:t xml:space="preserve">determination by adjudication</w:t>
      </w:r>
      <w:r>
        <w:rPr>
          <w:rFonts w:ascii="Times New Roman" w:cs="Times New Roman" w:eastAsia="Times New Roman" w:hAnsi="Times New Roman"/>
          <w:b w:val="false"/>
          <w:bCs w:val="false"/>
          <w:i w:val="false"/>
          <w:iCs w:val="false"/>
          <w:caps w:val="false"/>
          <w:sz w:val="24"/>
          <w:szCs w:val="24"/>
        </w:rPr>
        <w:t xml:space="preserve"> under Section 73/74 and the issuance of a demand. Until the SCN is adjudicated, there is no ascertained liability, nothing is ‘payable’, and the recovery machinery — including the garnishee provision in Section 79(1)(c) — simply does not arise. The garnishee notice ought to be withdrawn forthwith.</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1 July 2017.</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SCN and the pending adjudication. </w:t>
      </w:r>
      <w:r>
        <w:rPr>
          <w:rFonts w:ascii="Times New Roman" w:cs="Times New Roman" w:eastAsia="Times New Roman" w:hAnsi="Times New Roman"/>
          <w:b w:val="false"/>
          <w:bCs w:val="false"/>
          <w:i w:val="false"/>
          <w:iCs w:val="false"/>
          <w:caps w:val="false"/>
          <w:sz w:val="24"/>
          <w:szCs w:val="24"/>
        </w:rPr>
        <w:t xml:space="preserve">A Show Cause Notice under Section 73/74 dated [____] alleges [____]. The Company filed its reply with the documents available, sought a personal hearing, and took an adjournment to compile further details; the adjudication is pending (Annexure 1).</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garnishee notice. </w:t>
      </w:r>
      <w:r>
        <w:rPr>
          <w:rFonts w:ascii="Times New Roman" w:cs="Times New Roman" w:eastAsia="Times New Roman" w:hAnsi="Times New Roman"/>
          <w:b w:val="false"/>
          <w:bCs w:val="false"/>
          <w:i w:val="false"/>
          <w:iCs w:val="false"/>
          <w:caps w:val="false"/>
          <w:sz w:val="24"/>
          <w:szCs w:val="24"/>
        </w:rPr>
        <w:t xml:space="preserve">The Company learnt, from its debtor [____], that the Department had issued a notice under Section 79(1)(c) requiring the debtor to pay the Company's dues directly to the Department, on the footing of a ‘recovery’ against the Company — though no order has been passed (Annexure 2).</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Recovery presupposes an adjudicated, ascertained liability — there is none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scheme of the Act is sequential: a notice under Section 73(1) / 74(1); a reply and a hearing; a reasoned order under Section 73(9) / 74(9) determining the amount; a demand; and only then, on default, recovery under Section 79. Section 79 opens with the words ‘where any amount payable by a person … is not paid’ — it presupposes an amount that has become payable by an order. Until the SCN is adjudicated, no amount is determined, nothing is ‘payable’, and Section 79 (including the garnishee mode in Section 79(1)(c)) does not arise. The recovery here puts the cart before the horse.</w:t>
      </w:r>
    </w:p>
    <w:p>
      <w:pPr>
        <w:pStyle w:val="Heading2"/>
        <w:spacing w:after="140" w:before="200"/>
      </w:pPr>
      <w:r>
        <w:rPr>
          <w:rFonts w:ascii="Times New Roman" w:cs="Times New Roman" w:eastAsia="Times New Roman" w:hAnsi="Times New Roman"/>
          <w:b/>
          <w:bCs/>
          <w:sz w:val="24"/>
          <w:szCs w:val="24"/>
        </w:rPr>
        <w:t xml:space="preserve">Submission 2: Recovery before adjudication is impermissible and has been deprecated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It is settled that coercive recovery cannot precede adjudication of a disputed liability. The Jharkhand High Court, in </w:t>
      </w:r>
      <w:r>
        <w:rPr>
          <w:rFonts w:ascii="Times New Roman" w:cs="Times New Roman" w:eastAsia="Times New Roman" w:hAnsi="Times New Roman"/>
          <w:b w:val="false"/>
          <w:bCs w:val="false"/>
          <w:i/>
          <w:iCs/>
          <w:caps w:val="false"/>
          <w:sz w:val="24"/>
          <w:szCs w:val="24"/>
        </w:rPr>
        <w:t xml:space="preserve">Mahadeo Construction Co. v. Union of India</w:t>
      </w:r>
      <w:r>
        <w:rPr>
          <w:rFonts w:ascii="Times New Roman" w:cs="Times New Roman" w:eastAsia="Times New Roman" w:hAnsi="Times New Roman"/>
          <w:b w:val="false"/>
          <w:bCs w:val="false"/>
          <w:i w:val="false"/>
          <w:iCs w:val="false"/>
          <w:caps w:val="false"/>
          <w:sz w:val="24"/>
          <w:szCs w:val="24"/>
        </w:rPr>
        <w:t xml:space="preserve">, W.P.(T) No. 3517 of 2019, 21.04.2020, held that a disputed liability must be adjudicated under Section 73/74 before any recovery, and that garnishee / coercive recovery under Section 79 without such adjudication is impermissible. The Hon'ble Supreme Court, in </w:t>
      </w:r>
      <w:r>
        <w:rPr>
          <w:rFonts w:ascii="Times New Roman" w:cs="Times New Roman" w:eastAsia="Times New Roman" w:hAnsi="Times New Roman"/>
          <w:b w:val="false"/>
          <w:bCs w:val="false"/>
          <w:i/>
          <w:iCs/>
          <w:caps w:val="false"/>
          <w:sz w:val="24"/>
          <w:szCs w:val="24"/>
        </w:rPr>
        <w:t xml:space="preserve">Radha Krishan Industries v. State of Himachal Pradesh</w:t>
      </w:r>
      <w:r>
        <w:rPr>
          <w:rFonts w:ascii="Times New Roman" w:cs="Times New Roman" w:eastAsia="Times New Roman" w:hAnsi="Times New Roman"/>
          <w:b w:val="false"/>
          <w:bCs w:val="false"/>
          <w:i w:val="false"/>
          <w:iCs w:val="false"/>
          <w:caps w:val="false"/>
          <w:sz w:val="24"/>
          <w:szCs w:val="24"/>
        </w:rPr>
        <w:t xml:space="preserve">, (2021) 6 SCC 771 / 2021 SCC OnLine SC 334, Civil Appeal No. 1155 of 2021, 20.04.2021, similarly emphasised that the drastic recovery / protective powers are strictly conditioned. The garnishee notice, issued before any order, is without jurisdiction.</w:t>
      </w:r>
    </w:p>
    <w:p>
      <w:pPr>
        <w:pStyle w:val="Heading2"/>
        <w:spacing w:after="140" w:before="200"/>
      </w:pPr>
      <w:r>
        <w:rPr>
          <w:rFonts w:ascii="Times New Roman" w:cs="Times New Roman" w:eastAsia="Times New Roman" w:hAnsi="Times New Roman"/>
          <w:b/>
          <w:bCs/>
          <w:sz w:val="24"/>
          <w:szCs w:val="24"/>
        </w:rPr>
        <w:t xml:space="preserve">Submission 3: The garnishee notice injures the Company and a third party for a non-existent demand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notice not only pre-empts the adjudication but also disrupts the Company's commercial relationship with its debtor and exposes the debtor to an unlawful demand. The Company's reply to the SCN is on record and a hearing is awaited; there is no warrant for any recovery, let alone third-party recovery, at this stage.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WITHDRAW forthwith the notice issued to the Company's debtor under Section 79(1)(c), no amount being ‘payable’ in the absence of an adjudication;</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INTIMATE the debtor accordingly, so that the Company's commercial relationship is not prejudiced;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PROCEED, if at all, only by adjudicating the Show Cause Notice after the personal hearing sought;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73, 74, 78 and 79 (including sub-section (1)(c)) of the CGST Act,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Mahadeo Construction Co. v. Union of India, Jharkhand HC, W.P.(T) No. 3517 of 2019, 21.04.2020; Radha Krishan Industries v. State of Himachal Pradesh, Supreme Court, (2021) 6 SCC 771 / 2021 SCC OnLine SC 334, CA 1155/2021, 20.04.2021.</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Copy of the Show Cause Notice and the Company's reply with the hearing request / adjournment.</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debtor's communication and the Section 79(1)(c) notice.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2026-06-13T08:26:25.481Z</dcterms:created>
  <dcterms:modified xsi:type="dcterms:W3CDTF">2026-06-13T08:26:25.481Z</dcterms:modified>
</cp:coreProperties>
</file>

<file path=docProps/custom.xml><?xml version="1.0" encoding="utf-8"?>
<Properties xmlns="http://schemas.openxmlformats.org/officeDocument/2006/custom-properties" xmlns:vt="http://schemas.openxmlformats.org/officeDocument/2006/docPropsVTypes"/>
</file>