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Joint Commissioner of State Tax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to unblock the Electronic Credit Ledger blocked under Rule 86A, to enable the Company to make a voluntary payment under Section 74(5) towards the input tax credit alleged in the Show Cause Notice — the reversal being offered to buy peace and without admission — blocking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74(1) dated [____]; blocking of the Electronic Credit Ledger under Rule 86A (intimated by e-mail dated [____]); amount Rs.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authority is marked [VERIFY] for a final check before filing, save the verified Section 16(5) particulars. The facts (an SCN under Section 74(1) on ITC from a supplier not found at visit; the ECL blocked under Rule 86A by e-mail; and the Company's wish to pay under Section 74(5) voluntarily)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received a Show Cause Notice under Section 74(1) alleging that input tax credit of Rs. [____] availed from M/s [____] is ineligible, the supplier not having been found at the time of the Department's visit; and its Electronic Credit Ledger has been blocked under Rule 86A in that amount. Although the Company maintains that it is a bona fide recipient — it received the goods, holds the invoices, and the supplier had paid the tax — it has decided, </w:t>
      </w:r>
      <w:r>
        <w:rPr>
          <w:rFonts w:ascii="Times New Roman" w:cs="Times New Roman" w:eastAsia="Times New Roman" w:hAnsi="Times New Roman"/>
          <w:b/>
          <w:bCs/>
          <w:i w:val="false"/>
          <w:iCs w:val="false"/>
          <w:caps w:val="false"/>
          <w:sz w:val="24"/>
          <w:szCs w:val="24"/>
        </w:rPr>
        <w:t xml:space="preserve">to buy peace and avoid a protracted dispute</w:t>
      </w:r>
      <w:r>
        <w:rPr>
          <w:rFonts w:ascii="Times New Roman" w:cs="Times New Roman" w:eastAsia="Times New Roman" w:hAnsi="Times New Roman"/>
          <w:b w:val="false"/>
          <w:bCs w:val="false"/>
          <w:i w:val="false"/>
          <w:iCs w:val="false"/>
          <w:caps w:val="false"/>
          <w:sz w:val="24"/>
          <w:szCs w:val="24"/>
        </w:rPr>
        <w:t xml:space="preserve">, to pay the alleged amount voluntarily under Section 74(5). To do so by debit of the credit ledger (as Section 49(4) permits for a payment towards output tax / the disputed liability), the Company needs the </w:t>
      </w:r>
      <w:r>
        <w:rPr>
          <w:rFonts w:ascii="Times New Roman" w:cs="Times New Roman" w:eastAsia="Times New Roman" w:hAnsi="Times New Roman"/>
          <w:b/>
          <w:bCs/>
          <w:i w:val="false"/>
          <w:iCs w:val="false"/>
          <w:caps w:val="false"/>
          <w:sz w:val="24"/>
          <w:szCs w:val="24"/>
        </w:rPr>
        <w:t xml:space="preserve">ledger to be unblocked</w:t>
      </w:r>
      <w:r>
        <w:rPr>
          <w:rFonts w:ascii="Times New Roman" w:cs="Times New Roman" w:eastAsia="Times New Roman" w:hAnsi="Times New Roman"/>
          <w:b w:val="false"/>
          <w:bCs w:val="false"/>
          <w:i w:val="false"/>
          <w:iCs w:val="false"/>
          <w:caps w:val="false"/>
          <w:sz w:val="24"/>
          <w:szCs w:val="24"/>
        </w:rPr>
        <w:t xml:space="preserve">. The Company requests unblocking to enable the Section 74(5) payment, which, made before the issuance of the order, will conclude the matter without penalty.</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 bona fide recipient holding the tax invoices, evidence of receipt, and proof of payment to the supplier including tax.</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SCN and the blocking. </w:t>
      </w:r>
      <w:r>
        <w:rPr>
          <w:rFonts w:ascii="Times New Roman" w:cs="Times New Roman" w:eastAsia="Times New Roman" w:hAnsi="Times New Roman"/>
          <w:b w:val="false"/>
          <w:bCs w:val="false"/>
          <w:i w:val="false"/>
          <w:iCs w:val="false"/>
          <w:caps w:val="false"/>
          <w:sz w:val="24"/>
          <w:szCs w:val="24"/>
        </w:rPr>
        <w:t xml:space="preserve">A Show Cause Notice under Section 74(1) dated [____] alleges ineligible ITC of Rs. [____] from M/s [____] (not found at the visit). The Company was intimated by e-mail dated [____] that its Electronic Credit Ledger stands blocked under Rule 86A in that amount.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decision to pay under protest. </w:t>
      </w:r>
      <w:r>
        <w:rPr>
          <w:rFonts w:ascii="Times New Roman" w:cs="Times New Roman" w:eastAsia="Times New Roman" w:hAnsi="Times New Roman"/>
          <w:b w:val="false"/>
          <w:bCs w:val="false"/>
          <w:i w:val="false"/>
          <w:iCs w:val="false"/>
          <w:caps w:val="false"/>
          <w:sz w:val="24"/>
          <w:szCs w:val="24"/>
        </w:rPr>
        <w:t xml:space="preserve">Without admitting the allegation, and to buy peace, the Company wishes to pay the said amount voluntarily under Section 74(5) by debit of its credit ledger.</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Section 74(5) permits a voluntary pre-order payment that concludes the matter without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74(5) permits the person chargeable with tax to pay, before the service of the notice (or thereafter, under Section 74(8), within thirty days of the notice), the tax with interest and a reduced penalty (15% under Section 74(5); nil / 25% within the windows), upon which, under Section 74(6)/(8), no notice / no further proceeding is to be issued in respect of that amount. The Company wishes to avail this mechanism to close the matter, without admitting the allegation. [Confirm the applicable reduced-penalty percentage for the stage at which payment is made.]</w:t>
      </w:r>
    </w:p>
    <w:p>
      <w:pPr>
        <w:pStyle w:val="Heading2"/>
        <w:spacing w:after="140" w:before="200"/>
      </w:pPr>
      <w:r>
        <w:rPr>
          <w:rFonts w:ascii="Times New Roman" w:cs="Times New Roman" w:eastAsia="Times New Roman" w:hAnsi="Times New Roman"/>
          <w:b/>
          <w:bCs/>
          <w:sz w:val="24"/>
          <w:szCs w:val="24"/>
        </w:rPr>
        <w:t xml:space="preserve">Submission 2: The credit ledger is the permitted means of the payment; the blocking frustrates 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49(4) permits the electronic credit ledger to be used for any payment towards output tax / the liability in question, and the Board's Circular No. 172/04/2022-GST dated 06.07.2022 confirms that a payment towards the liability arising in a proceeding may be made by utilisation of the credit ledger. The Company has sufficient balance to make the Section 74(5) payment by debit of the ledger. The Rule 86A blocking, however, freezes that balance and frustrates the very payment that would close the matter. Unblocking to enable the payment serves the revenue's interest, not against it.</w:t>
      </w:r>
    </w:p>
    <w:p>
      <w:pPr>
        <w:pStyle w:val="Heading2"/>
        <w:spacing w:after="140" w:before="200"/>
      </w:pPr>
      <w:r>
        <w:rPr>
          <w:rFonts w:ascii="Times New Roman" w:cs="Times New Roman" w:eastAsia="Times New Roman" w:hAnsi="Times New Roman"/>
          <w:b/>
          <w:bCs/>
          <w:sz w:val="24"/>
          <w:szCs w:val="24"/>
        </w:rPr>
        <w:t xml:space="preserve">Submission 3: The blocking is, in any event, confined and time-limited; and the bona fides are reserved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86A permits blocking only on recorded ‘reasons to believe’ within its enumerated conditions, cannot exceed the credit available, and ceases after one year (Rule 86A(3)); the standards in K-9 Enterprises v. State of Karnataka (Karnataka HC, W.A. 100425/2023; the Revenue's SLP, SLP(C) Diary No. 11543 of 2025, [2025] 174 taxmann.com 701, having been dismissed on 16.05.2025 both on the merits and for delay) apply. The Company reserves its position that, as a bona fide recipient, it could not in law be denied the credit (and that the retrospective Section 16(5) and the bona fide-recipient line would answer the SCN on the merits); the voluntary payment is made only to buy peace. The Company requests unblocking strictly to enable the Section 74(5) payment.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UNBLOCK the Company's Electronic Credit Ledger to the extent necessary to enable the voluntary payment under Section 74(5);</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the said payment by debit of the credit ledger under Section 49(4) read with Circular No. 172/04/2022-GST, and TREAT the matter as concluded under Section 74(6)/(8) without penalty upon such payment;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RECORD that the payment is made to buy peace and without admission;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 49(4), 74 (including sub-sections (5), (6) and (8)) of the CGST Act, 2017; Rule 86A (including sub-rule (3)) of the CGST Rules, 2017 (Form GST DRC-03).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172/04/2022-GST dated 06.07.2022; K-9 Enterprises v. State of Karnataka, Karnataka HC (DB), W.A. No. 100425 of 2023, 02.04.2024 (Revenue's SLP, SLP(C) Diary No. 11543 of 2025, [2025] 174 taxmann.com 701, dismissed 16.05.2025 on merits and for delay).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2026-06-13T08:26:25.552Z</dcterms:created>
  <dcterms:modified xsi:type="dcterms:W3CDTF">2026-06-13T08:26:25.552Z</dcterms:modified>
</cp:coreProperties>
</file>

<file path=docProps/custom.xml><?xml version="1.0" encoding="utf-8"?>
<Properties xmlns="http://schemas.openxmlformats.org/officeDocument/2006/custom-properties" xmlns:vt="http://schemas.openxmlformats.org/officeDocument/2006/docPropsVTypes"/>
</file>