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notice / Show Cause Notice alleging availment of input tax credit in excess of Form GSTR-2A for FY 2017-18 and FY 2018-19, with proposed reversal, interest and penalty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SCN / ASMT-10”).</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circular, notification and press release is marked [VERIFY] for a final check before filing. The period (FY 2017-18 and FY 2018-19) and the reversal / interest / penalty proposal are reproduced from the notice as recited in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notice alleges that, for FY 2017-18 and FY 2018-19, the Company availed input tax credit in excess of the amount auto-populated in Form GSTR-2A, and proposes reversal with interest and penalty. The allegation is misconceived. For those years, availment of credit was governed by Section 16 read with Rule 36; </w:t>
      </w:r>
      <w:r>
        <w:rPr>
          <w:rFonts w:ascii="Times New Roman" w:cs="Times New Roman" w:eastAsia="Times New Roman" w:hAnsi="Times New Roman"/>
          <w:b/>
          <w:bCs/>
          <w:i w:val="false"/>
          <w:iCs w:val="false"/>
          <w:caps w:val="false"/>
          <w:sz w:val="24"/>
          <w:szCs w:val="24"/>
        </w:rPr>
        <w:t xml:space="preserve">Form GSTR-2A was not a statutory condition for the availment of credit</w:t>
      </w:r>
      <w:r>
        <w:rPr>
          <w:rFonts w:ascii="Times New Roman" w:cs="Times New Roman" w:eastAsia="Times New Roman" w:hAnsi="Times New Roman"/>
          <w:b w:val="false"/>
          <w:bCs w:val="false"/>
          <w:i w:val="false"/>
          <w:iCs w:val="false"/>
          <w:caps w:val="false"/>
          <w:sz w:val="24"/>
          <w:szCs w:val="24"/>
        </w:rPr>
        <w:t xml:space="preserve">. The restriction tying credit to supplier-uploaded invoices (Rule 36(4)) was introduced only with effect from 9 October 2019, and the condition under Section 16(2)(aa) only from 1 January 2022. A recipient holding a valid tax invoice, who has received the supply and paid the supplier, is entitled to the credit; a 2A mismatch is, at highest, a trigger for verification under the Board’s own procedure (Circular No. 183/15/2022-GST), not a ground for automatic reversal. The Company is, in any event, protected by the retrospective extension of time under Section 16(5).</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availed credit on inward supplies in the ordinary course, on the strength of tax invoices and after receipt of the supplies and payment to its suppliers including tax.</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allegation. </w:t>
      </w:r>
      <w:r>
        <w:rPr>
          <w:rFonts w:ascii="Times New Roman" w:cs="Times New Roman" w:eastAsia="Times New Roman" w:hAnsi="Times New Roman"/>
          <w:b w:val="false"/>
          <w:bCs w:val="false"/>
          <w:i w:val="false"/>
          <w:iCs w:val="false"/>
          <w:caps w:val="false"/>
          <w:sz w:val="24"/>
          <w:szCs w:val="24"/>
        </w:rPr>
        <w:t xml:space="preserve">By the Impugned notice (in Form ASMT-10 / DRC-01), the Department alleges that credit was availed in excess of GSTR-2A across FY 2017-18 and FY 2018-19, and proposes reversal with interest and penalty.</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documentary position. </w:t>
      </w:r>
      <w:r>
        <w:rPr>
          <w:rFonts w:ascii="Times New Roman" w:cs="Times New Roman" w:eastAsia="Times New Roman" w:hAnsi="Times New Roman"/>
          <w:b w:val="false"/>
          <w:bCs w:val="false"/>
          <w:i w:val="false"/>
          <w:iCs w:val="false"/>
          <w:caps w:val="false"/>
          <w:sz w:val="24"/>
          <w:szCs w:val="24"/>
        </w:rPr>
        <w:t xml:space="preserve">The Company holds the tax invoices for the disputed credit, has received the corresponding supplies, and has paid its suppliers including tax through banking channels. The conditions of Section 16(2) were satisfied at the time of availment.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Procedural chronology.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Date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Event / Stage</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Document /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FY 2017-18 / 2018-19</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Credit availed on inward supplies in GSTR-3B</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Tax invoices; GSTR-3B</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ASMT-10 / notice alleging excess over GSTR-2A</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ASMT-10 / DRC-01A, as applicable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Reply furnished at the pre-SCN stage</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Reply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SCN proposing reversal, interest and penalty</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SCN, Letter No. [____] dated [____]</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This reply filed</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Present reply, with reconciliation Annexure</w:t>
            </w:r>
          </w:p>
        </w:tc>
      </w:tr>
    </w:tbl>
    <w:p>
      <w:pPr>
        <w:spacing w:after="120" w:before="120"/>
        <w:jc w:val="both"/>
      </w:pPr>
      <w:r>
        <w:rPr>
          <w:rFonts w:ascii="Times New Roman" w:cs="Times New Roman" w:eastAsia="Times New Roman" w:hAnsi="Times New Roman"/>
          <w:b/>
          <w:bCs/>
          <w:i/>
          <w:iCs/>
          <w:sz w:val="20"/>
          <w:szCs w:val="20"/>
        </w:rPr>
        <w:t xml:space="preserve">Flag (FY span — carry-forward): </w:t>
      </w:r>
      <w:r>
        <w:rPr>
          <w:rFonts w:ascii="Times New Roman" w:cs="Times New Roman" w:eastAsia="Times New Roman" w:hAnsi="Times New Roman"/>
          <w:i/>
          <w:iCs/>
          <w:sz w:val="20"/>
          <w:szCs w:val="20"/>
        </w:rPr>
        <w:t xml:space="preserve">The notice spans FY 2017-18 and FY 2018-19. The applicable position and the limitation under Sections 73/74 differ between the two years; the reconciliation Annexure segregates the two years, and the Company reserves year-specific objections. This factual inconsistency in the source records (FY 2017-18 vs FY 2018-19) is flagged and not resolved by assumption.</w:t>
      </w:r>
    </w:p>
    <w:p>
      <w:pPr>
        <w:pStyle w:val="Heading1"/>
        <w:spacing w:after="160" w:before="260"/>
      </w:pPr>
      <w:r>
        <w:rPr>
          <w:rFonts w:ascii="Times New Roman" w:cs="Times New Roman" w:eastAsia="Times New Roman" w:hAnsi="Times New Roman"/>
          <w:b/>
          <w:bCs/>
          <w:caps/>
          <w:sz w:val="26"/>
          <w:szCs w:val="26"/>
        </w:rPr>
        <w:t xml:space="preserve">Grounds / Submissions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independently sufficient. The Company DENIES that any credit was wrongly availed or is liable to reversal.</w:t>
      </w:r>
    </w:p>
    <w:p>
      <w:pPr>
        <w:pStyle w:val="Heading2"/>
        <w:spacing w:after="140" w:before="200"/>
      </w:pPr>
      <w:r>
        <w:rPr>
          <w:rFonts w:ascii="Times New Roman" w:cs="Times New Roman" w:eastAsia="Times New Roman" w:hAnsi="Times New Roman"/>
          <w:b/>
          <w:bCs/>
          <w:sz w:val="24"/>
          <w:szCs w:val="24"/>
        </w:rPr>
        <w:t xml:space="preserve">Ground 1: For FY 2017-18 and 2018-19, GSTR-2A was not a condition for availment — Section 16 read with Rule 36</w:t>
      </w:r>
    </w:p>
    <w:p>
      <w:pPr>
        <w:spacing w:after="160" w:line="276"/>
        <w:jc w:val="both"/>
      </w:pPr>
      <w:r>
        <w:rPr>
          <w:rFonts w:ascii="Times New Roman" w:cs="Times New Roman" w:eastAsia="Times New Roman" w:hAnsi="Times New Roman"/>
          <w:b/>
          <w:bCs/>
          <w:sz w:val="24"/>
          <w:szCs w:val="24"/>
        </w:rPr>
        <w:t xml:space="preserve">(a) The governing law.</w:t>
      </w:r>
      <w:r>
        <w:rPr>
          <w:rFonts w:ascii="Times New Roman" w:cs="Times New Roman" w:eastAsia="Times New Roman" w:hAnsi="Times New Roman"/>
          <w:sz w:val="24"/>
          <w:szCs w:val="24"/>
        </w:rPr>
        <w:t xml:space="preserve"> The eligibility and conditions for input tax credit are prescribed exhaustively by Section 16(2), which opens with a non-obstante clause: possession of a tax invoice; receipt of the goods or services; tax actually paid to the Government; and furnishing of the return. Rule 36 prescribes the documentary requirements. Nowhere, in FY 2017-18 or 2018-19, did the statute make the appearance of an invoice in GSTR-2A a condition of credit.</w:t>
      </w:r>
    </w:p>
    <w:p>
      <w:pPr>
        <w:spacing w:after="160" w:line="276"/>
        <w:jc w:val="both"/>
      </w:pPr>
      <w:r>
        <w:rPr>
          <w:rFonts w:ascii="Times New Roman" w:cs="Times New Roman" w:eastAsia="Times New Roman" w:hAnsi="Times New Roman"/>
          <w:b/>
          <w:bCs/>
          <w:sz w:val="24"/>
          <w:szCs w:val="24"/>
        </w:rPr>
        <w:t xml:space="preserve">(b) The restriction came later.</w:t>
      </w:r>
      <w:r>
        <w:rPr>
          <w:rFonts w:ascii="Times New Roman" w:cs="Times New Roman" w:eastAsia="Times New Roman" w:hAnsi="Times New Roman"/>
          <w:sz w:val="24"/>
          <w:szCs w:val="24"/>
        </w:rPr>
        <w:t xml:space="preserve"> The restriction limiting credit to a percentage of supplier-uploaded invoices was inserted as Rule 36(4) with effect from 9 October 2019 [VERIFY], in a capped, graduated form; the statutory condition under Section 16(2)(aa) requiring the invoice to be furnished by the supplier came into force only from 1 January 2022 [VERIFY]. For supplies of FY 2017-18 and 2018-19, no such condition operated, and credit cannot be denied by applying a later restriction to a period it did not govern.</w:t>
      </w:r>
    </w:p>
    <w:p>
      <w:pPr>
        <w:spacing w:after="160" w:line="276"/>
        <w:jc w:val="both"/>
      </w:pPr>
      <w:r>
        <w:rPr>
          <w:rFonts w:ascii="Times New Roman" w:cs="Times New Roman" w:eastAsia="Times New Roman" w:hAnsi="Times New Roman"/>
          <w:b/>
          <w:bCs/>
          <w:sz w:val="24"/>
          <w:szCs w:val="24"/>
        </w:rPr>
        <w:t xml:space="preserve">(c) GSTR-2A is facilitative — the Board and the Supreme Court say so.</w:t>
      </w:r>
      <w:r>
        <w:rPr>
          <w:rFonts w:ascii="Times New Roman" w:cs="Times New Roman" w:eastAsia="Times New Roman" w:hAnsi="Times New Roman"/>
          <w:sz w:val="24"/>
          <w:szCs w:val="24"/>
        </w:rPr>
        <w:t xml:space="preserve"> The Board clarified, by Press Release dated 18 October 2018 [VERIFY], that the furnishing of outward details in GSTR-1 and the facility to view them in GSTR-2A is in the nature of taxpayer facilitation and “does not impact the ability of the taxpayer to avail ITC on self-assessment basis in consonance with Section 16.” The Hon’ble Supreme Court, in </w:t>
      </w:r>
    </w:p>
    <w:p>
      <w:pPr>
        <w:spacing w:after="120" w:before="120"/>
        <w:jc w:val="both"/>
      </w:pPr>
      <w:r>
        <w:rPr>
          <w:rFonts w:ascii="Times New Roman" w:cs="Times New Roman" w:eastAsia="Times New Roman" w:hAnsi="Times New Roman"/>
          <w:b/>
          <w:bCs/>
          <w:i/>
          <w:iCs/>
          <w:sz w:val="20"/>
          <w:szCs w:val="20"/>
        </w:rPr>
        <w:t xml:space="preserve">Caution (for review): </w:t>
      </w:r>
      <w:r>
        <w:rPr>
          <w:rFonts w:ascii="Times New Roman" w:cs="Times New Roman" w:eastAsia="Times New Roman" w:hAnsi="Times New Roman"/>
          <w:i/>
          <w:iCs/>
          <w:sz w:val="20"/>
          <w:szCs w:val="20"/>
        </w:rPr>
        <w:t xml:space="preserve">Bharti Airtel is cited only for the limited proposition that GSTR-2A is a facilitator and credit rests on self-assessment from the books. The actual outcome in Bharti Airtel was adverse to the assessee (rectification of GSTR-3B for the original period was disallowed and Circular 26/26/2017 upheld). The draft does not rely on it for any rectification proposition.</w:t>
      </w:r>
    </w:p>
    <w:p>
      <w:pPr>
        <w:spacing w:after="160" w:line="276"/>
        <w:jc w:val="both"/>
      </w:pPr>
      <w:r>
        <w:rPr>
          <w:rFonts w:ascii="Times New Roman" w:cs="Times New Roman" w:eastAsia="Times New Roman" w:hAnsi="Times New Roman"/>
          <w:b/>
          <w:bCs/>
          <w:sz w:val="24"/>
          <w:szCs w:val="24"/>
        </w:rPr>
        <w:t xml:space="preserve">(d) Application to the facts.</w:t>
      </w:r>
      <w:r>
        <w:rPr>
          <w:rFonts w:ascii="Times New Roman" w:cs="Times New Roman" w:eastAsia="Times New Roman" w:hAnsi="Times New Roman"/>
          <w:sz w:val="24"/>
          <w:szCs w:val="24"/>
        </w:rPr>
        <w:t xml:space="preserve"> The Company holds the invoices, received the supplies, and paid its suppliers. A difference between the credit availed and the figure appearing in GSTR-2A — typically attributable to a supplier’s delayed or omitted GSTR-1 filing — cannot, in FY 2017-18 or 2018-19, defeat a credit validly availed under Section 16(2).</w:t>
      </w:r>
    </w:p>
    <w:p>
      <w:pPr>
        <w:spacing w:after="160" w:line="276"/>
        <w:jc w:val="both"/>
      </w:pPr>
      <w:r>
        <w:rPr>
          <w:rFonts w:ascii="Times New Roman" w:cs="Times New Roman" w:eastAsia="Times New Roman" w:hAnsi="Times New Roman"/>
          <w:b/>
          <w:bCs/>
          <w:sz w:val="24"/>
          <w:szCs w:val="24"/>
        </w:rPr>
        <w:t xml:space="preserve">(e) Relief sought.</w:t>
      </w:r>
      <w:r>
        <w:rPr>
          <w:rFonts w:ascii="Times New Roman" w:cs="Times New Roman" w:eastAsia="Times New Roman" w:hAnsi="Times New Roman"/>
          <w:sz w:val="24"/>
          <w:szCs w:val="24"/>
        </w:rPr>
        <w:t xml:space="preserve"> Hold that GSTR-2A was not a condition for availment in these years and that the credit was validly availed; drop the proposed reversal.</w:t>
      </w:r>
    </w:p>
    <w:p>
      <w:pPr>
        <w:pStyle w:val="Heading2"/>
        <w:spacing w:after="140" w:before="200"/>
      </w:pPr>
      <w:r>
        <w:rPr>
          <w:rFonts w:ascii="Times New Roman" w:cs="Times New Roman" w:eastAsia="Times New Roman" w:hAnsi="Times New Roman"/>
          <w:b/>
          <w:bCs/>
          <w:sz w:val="24"/>
          <w:szCs w:val="24"/>
        </w:rPr>
        <w:t xml:space="preserve">Ground 2: The Board’s own procedure for FY 2017-18 and 2018-19 mandates verification on the recipient’s documents, not mechanical reversal — Circular No. 183/15/2022-GST</w:t>
      </w:r>
    </w:p>
    <w:p>
      <w:pPr>
        <w:spacing w:after="160" w:line="276"/>
        <w:jc w:val="both"/>
      </w:pPr>
      <w:r>
        <w:rPr>
          <w:rFonts w:ascii="Times New Roman" w:cs="Times New Roman" w:eastAsia="Times New Roman" w:hAnsi="Times New Roman"/>
          <w:b/>
          <w:bCs/>
          <w:sz w:val="24"/>
          <w:szCs w:val="24"/>
        </w:rPr>
        <w:t xml:space="preserve">(a) The prescribed mechanism.</w:t>
      </w:r>
      <w:r>
        <w:rPr>
          <w:rFonts w:ascii="Times New Roman" w:cs="Times New Roman" w:eastAsia="Times New Roman" w:hAnsi="Times New Roman"/>
          <w:sz w:val="24"/>
          <w:szCs w:val="24"/>
        </w:rPr>
        <w:t xml:space="preserve"> By Circular No. 183/15/2022-GST dated 27 December 2022 [VERIFY], the Board prescribed the procedure for differences between ITC claimed in GSTR-3B and that available in GSTR-2A for FY 2017-18 and FY 2018-19. The proper officer is required first to verify the Section 16 conditions, and then to deal with the difference on the basis of the recipient’s evidence, in the following manner:</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Where the difference in respect of a supplier exceeds Rs. 5,00,000 for the year, the recipient is to produce a certificate from a Chartered Accountant or Cost Accountant, bearing a UDIN, certifying that the supplies were actually made by the supplier to the recipient and that the tax was paid by the supplier in its GSTR-3B;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Where the difference is up to Rs. 5,00,000, the recipient need only produce a certificate from the concerned supplier to the same effect. [Circular No. 183/15/2022-GST — VERIFY threshold and conditions]</w:t>
      </w:r>
    </w:p>
    <w:p>
      <w:pPr>
        <w:spacing w:after="160" w:line="276"/>
        <w:jc w:val="both"/>
      </w:pPr>
      <w:r>
        <w:rPr>
          <w:rFonts w:ascii="Times New Roman" w:cs="Times New Roman" w:eastAsia="Times New Roman" w:hAnsi="Times New Roman"/>
          <w:b/>
          <w:bCs/>
          <w:sz w:val="24"/>
          <w:szCs w:val="24"/>
        </w:rPr>
        <w:t xml:space="preserve">(b) Application.</w:t>
      </w:r>
      <w:r>
        <w:rPr>
          <w:rFonts w:ascii="Times New Roman" w:cs="Times New Roman" w:eastAsia="Times New Roman" w:hAnsi="Times New Roman"/>
          <w:sz w:val="24"/>
          <w:szCs w:val="24"/>
        </w:rPr>
        <w:t xml:space="preserve"> The Company is entitled to be dealt with under this procedure and not by mechanical reversal. The Company undertakes to furnish, for each supplier, the invoices, proof of payment, and the certificate appropriate to the value of the difference (a CA/CMA certificate with UDIN where the difference exceeds Rs. 5,00,000, and a supplier certificate where it does not). The companion Circular No. 193/05/2023-GST dated 17.07.2023 [VERIFY] applies the same approach to later years.</w:t>
      </w:r>
    </w:p>
    <w:p>
      <w:pPr>
        <w:spacing w:after="160" w:line="276"/>
        <w:jc w:val="both"/>
      </w:pPr>
      <w:r>
        <w:rPr>
          <w:rFonts w:ascii="Times New Roman" w:cs="Times New Roman" w:eastAsia="Times New Roman" w:hAnsi="Times New Roman"/>
          <w:b/>
          <w:bCs/>
          <w:sz w:val="24"/>
          <w:szCs w:val="24"/>
        </w:rPr>
        <w:t xml:space="preserve">(c) Relief sought.</w:t>
      </w:r>
      <w:r>
        <w:rPr>
          <w:rFonts w:ascii="Times New Roman" w:cs="Times New Roman" w:eastAsia="Times New Roman" w:hAnsi="Times New Roman"/>
          <w:sz w:val="24"/>
          <w:szCs w:val="24"/>
        </w:rPr>
        <w:t xml:space="preserve"> Apply Circular No. 183/15/2022-GST, accept the certificates and documents to be furnished, and drop the reversal to the extent so substantiated.</w:t>
      </w:r>
    </w:p>
    <w:p>
      <w:pPr>
        <w:pStyle w:val="Heading2"/>
        <w:spacing w:after="140" w:before="200"/>
      </w:pPr>
      <w:r>
        <w:rPr>
          <w:rFonts w:ascii="Times New Roman" w:cs="Times New Roman" w:eastAsia="Times New Roman" w:hAnsi="Times New Roman"/>
          <w:b/>
          <w:bCs/>
          <w:sz w:val="24"/>
          <w:szCs w:val="24"/>
        </w:rPr>
        <w:t xml:space="preserve">Ground 3: A bona fide recipient cannot be denied credit for the supplier’s default; recovery lies first against the supplier — Section 16(2)(c)</w:t>
      </w:r>
    </w:p>
    <w:p>
      <w:pPr>
        <w:spacing w:after="160" w:line="276"/>
        <w:jc w:val="both"/>
      </w:pPr>
      <w:r>
        <w:rPr>
          <w:rFonts w:ascii="Times New Roman" w:cs="Times New Roman" w:eastAsia="Times New Roman" w:hAnsi="Times New Roman"/>
          <w:b/>
          <w:bCs/>
          <w:sz w:val="24"/>
          <w:szCs w:val="24"/>
        </w:rPr>
        <w:t xml:space="preserve">(a) The principle and the administrative position.</w:t>
      </w:r>
      <w:r>
        <w:rPr>
          <w:rFonts w:ascii="Times New Roman" w:cs="Times New Roman" w:eastAsia="Times New Roman" w:hAnsi="Times New Roman"/>
          <w:sz w:val="24"/>
          <w:szCs w:val="24"/>
        </w:rPr>
        <w:t xml:space="preserve"> To the extent the mismatch is said to reflect a supplier’s non-reporting or non-payment, a bona fide recipient who has paid the supplier cannot be denied credit for the supplier’s default. The 27th GST Council recorded, by Press Release dated 4 May 2018 [VERIFY], that there shall be no automatic reversal of the buyer’s credit on the seller’s non-payment, recovery being made from the seller, with reversal from the buyer reserved for exceptional situations such as a missing dealer or closure of business.</w:t>
      </w:r>
    </w:p>
    <w:p>
      <w:pPr>
        <w:spacing w:after="160" w:line="276"/>
        <w:jc w:val="both"/>
      </w:pPr>
      <w:r>
        <w:rPr>
          <w:rFonts w:ascii="Times New Roman" w:cs="Times New Roman" w:eastAsia="Times New Roman" w:hAnsi="Times New Roman"/>
          <w:b/>
          <w:bCs/>
          <w:sz w:val="24"/>
          <w:szCs w:val="24"/>
        </w:rPr>
        <w:t xml:space="preserve">(b) The authorities.</w:t>
      </w:r>
      <w:r>
        <w:rPr>
          <w:rFonts w:ascii="Times New Roman" w:cs="Times New Roman" w:eastAsia="Times New Roman" w:hAnsi="Times New Roman"/>
          <w:sz w:val="24"/>
          <w:szCs w:val="24"/>
        </w:rPr>
        <w:t xml:space="preserve"> Reliance is placed on </w:t>
      </w:r>
    </w:p>
    <w:p>
      <w:pPr>
        <w:spacing w:after="160" w:line="276"/>
        <w:jc w:val="both"/>
      </w:pPr>
      <w:r>
        <w:rPr>
          <w:rFonts w:ascii="Times New Roman" w:cs="Times New Roman" w:eastAsia="Times New Roman" w:hAnsi="Times New Roman"/>
          <w:b/>
          <w:bCs/>
          <w:sz w:val="24"/>
          <w:szCs w:val="24"/>
        </w:rPr>
        <w:t xml:space="preserve">(c) Adverse authority, addressed.</w:t>
      </w:r>
      <w:r>
        <w:rPr>
          <w:rFonts w:ascii="Times New Roman" w:cs="Times New Roman" w:eastAsia="Times New Roman" w:hAnsi="Times New Roman"/>
          <w:sz w:val="24"/>
          <w:szCs w:val="24"/>
        </w:rPr>
        <w:t xml:space="preserve"> The Company is conscious of the contrary line — </w:t>
      </w:r>
    </w:p>
    <w:p>
      <w:pPr>
        <w:spacing w:after="160" w:line="276"/>
        <w:jc w:val="both"/>
      </w:pPr>
      <w:r>
        <w:rPr>
          <w:rFonts w:ascii="Times New Roman" w:cs="Times New Roman" w:eastAsia="Times New Roman" w:hAnsi="Times New Roman"/>
          <w:b/>
          <w:bCs/>
          <w:sz w:val="24"/>
          <w:szCs w:val="24"/>
        </w:rPr>
        <w:t xml:space="preserve">(d) Relief sought.</w:t>
      </w:r>
      <w:r>
        <w:rPr>
          <w:rFonts w:ascii="Times New Roman" w:cs="Times New Roman" w:eastAsia="Times New Roman" w:hAnsi="Times New Roman"/>
          <w:sz w:val="24"/>
          <w:szCs w:val="24"/>
        </w:rPr>
        <w:t xml:space="preserve"> Hold the Company a bona fide recipient satisfying Section 16(2), and that recovery, if any, lies first against the defaulting supplier.</w:t>
      </w:r>
    </w:p>
    <w:p>
      <w:pPr>
        <w:pStyle w:val="Heading2"/>
        <w:spacing w:after="140" w:before="200"/>
      </w:pPr>
      <w:r>
        <w:rPr>
          <w:rFonts w:ascii="Times New Roman" w:cs="Times New Roman" w:eastAsia="Times New Roman" w:hAnsi="Times New Roman"/>
          <w:b/>
          <w:bCs/>
          <w:sz w:val="24"/>
          <w:szCs w:val="24"/>
        </w:rPr>
        <w:t xml:space="preserve">Ground 4 (without prejudice): The retrospective extension of time under Section 16(5) protects the credit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to the extent the disputed credit pertains to FY 2017-18 to FY 2020-21, the Company is entitled to the benefit of Section 16(5) of the CGST Act, inserted by the Finance (No. 2) Act, 2024 with retrospective effect from 1 July 2017 [VERIFY], which allows credit for such years if availed in any GSTR-3B filed up to 30 November 2021. The Board’s Circular No. 237/31/2024-GST dated 15.10.2024 [VERIFY] gives effect to this relief, including for pending and decided matters. Where the credit was availed within that extended window, no demand on a Section 16(4) footing survives.</w:t>
      </w:r>
    </w:p>
    <w:p>
      <w:pPr>
        <w:pStyle w:val="Heading2"/>
        <w:spacing w:after="140" w:before="200"/>
      </w:pPr>
      <w:r>
        <w:rPr>
          <w:rFonts w:ascii="Times New Roman" w:cs="Times New Roman" w:eastAsia="Times New Roman" w:hAnsi="Times New Roman"/>
          <w:b/>
          <w:bCs/>
          <w:sz w:val="24"/>
          <w:szCs w:val="24"/>
        </w:rPr>
        <w:t xml:space="preserve">Ground 5 (without prejudice): No interest where credit not utilised; no penalty absent intent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to the extent any portion of the disputed credit was not utilised, no interest arises under Section 50(3) read with Rule 88B(3) [VERIFY], interest being chargeable only on credit availed and utilised. Penalty cannot attach absent fraud, wilful misstatement or suppression; a GSTR-2A mismatch in these years is a matter of reconciliation, not evasion.</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for FY 2017-18 and FY 2018-19, Form GSTR-2A was not a statutory condition for the availment of input tax credit, and that the credit was validly availed under Section 16(2);</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APPLY Circular No. 183/15/2022-GST dated 27.12.2022, accept the supplier-wise certificates and documents, and DROP the reversal to the extent substantiated;</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a bona fide recipient cannot be denied credit for a supplier’s default, recovery lying first against the supplier;</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without prejudice, that the credit is protected by Section 16(5) read with Circular No. 237/31/2024-GST;</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interest and penalty as unsustainable;</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to inspect and take copies of the relied-upon documents, to cross-examine,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spacing w:after="160" w:line="276"/>
        <w:jc w:val="both"/>
      </w:pPr>
      <w:r>
        <w:rPr>
          <w:rFonts w:ascii="Times New Roman" w:cs="Times New Roman" w:eastAsia="Times New Roman" w:hAnsi="Times New Roman"/>
          <w:b w:val="false"/>
          <w:bCs w:val="false"/>
          <w:i/>
          <w:iCs/>
          <w:caps w:val="false"/>
          <w:sz w:val="24"/>
          <w:szCs w:val="24"/>
        </w:rPr>
        <w:t xml:space="preserve">Case authorities, circulars, notifications and press releases are marked [VERIFY] for a final check before filing.</w:t>
      </w:r>
    </w:p>
    <w:p>
      <w:pPr>
        <w:spacing w:after="160" w:line="276"/>
        <w:jc w:val="both"/>
      </w:pPr>
      <w:r>
        <w:rPr>
          <w:rFonts w:ascii="Times New Roman" w:cs="Times New Roman" w:eastAsia="Times New Roman" w:hAnsi="Times New Roman"/>
          <w:b/>
          <w:bCs/>
          <w:i w:val="false"/>
          <w:iCs w:val="false"/>
          <w:caps w:val="false"/>
          <w:sz w:val="24"/>
          <w:szCs w:val="24"/>
        </w:rPr>
        <w:t xml:space="preserve">A. Statutory framework and instruments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16(1), 16(2)(a)–(d), 16(2)(aa), 16(4), 16(5), 16(6), 41, 50, 155 of the CGST Act, 2017; Rules 36 and 36(4) of the CGST Rules, 2017.</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Rule 36(4) inserted w.e.f. 09.10.2019; Section 16(2)(aa) w.e.f. 01.01.2022. [VERIFY]</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16(5) and 16(6) inserted by the Finance (No. 2) Act, 2024 (w.r.e.f. 01.07.2017); Circular No. 237/31/2024-GST dated 15.10.2024. [VERIFY]</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183/15/2022-GST dated 27.12.2022 (GSTR-2A/3B differences, FY 2017-18 and 2018-19; Rs. 5,00,000 threshold; CA/CMA vs supplier certificate). [VERIFY]</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193/05/2023-GST dated 17.07.2023 (FY 2019-20 and 2020-21). [VERIFY]</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Press Release dated 18.10.2018 (GSTR-2A facilitative). [VERIFY]</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Press Release dated 04.05.2018 (27th GST Council — no automatic reversal). [VERIFY]</w:t>
      </w:r>
    </w:p>
    <w:p>
      <w:pPr>
        <w:spacing w:after="160" w:line="276"/>
        <w:jc w:val="both"/>
      </w:pPr>
      <w:r>
        <w:rPr>
          <w:rFonts w:ascii="Times New Roman" w:cs="Times New Roman" w:eastAsia="Times New Roman" w:hAnsi="Times New Roman"/>
          <w:b/>
          <w:bCs/>
          <w:i w:val="false"/>
          <w:iCs w:val="false"/>
          <w:caps w:val="false"/>
          <w:sz w:val="24"/>
          <w:szCs w:val="24"/>
        </w:rPr>
        <w:t xml:space="preserve">B. Case law</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Union of India v. Bharti Airtel Ltd., Supreme Court, 2021 INSC 684 / (2022) 4 SCC 328 (GSTR-2A a facilitator; cite for that limited proposition). [VERIFY]</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Suncraft Energy Pvt. Ltd. v. Assistant Commissioner, State Tax, Calcutta HC, MAT 1218 of 2023, 02.08.2023; SLP(C) 27827-27828/2023 dismissed by SC on 14.12.2023 on low tax effect, [2023] 157 taxmann.com 352 (SC).</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Diya Agencies v. State Tax Officer, Kerala HC, 2023:KER:55318. [VERIFY]</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D.Y. Beathel Enterprises v. State Tax Officer, Madras HC, W.P.(MD) Nos. 2127 of 2021 (batch), 24.02.2021. [VERIFY]</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Adverse, distinguished: State of Karnataka v. Ecom Gill Coffee Trading Pvt. Ltd., SC, Civil Appeal No. 230 of 2023, 13.03.2023; Aastha Enterprises v. State of Bihar, Patna HC, 18.08.2023.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6"/>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Supplier-wise reconciliation of credit availed in GSTR-3B with GSTR-2A, segregated for FY 2017-18 and FY 2018-19.</w:t>
      </w:r>
    </w:p>
    <w:p>
      <w:pPr>
        <w:pStyle w:val="ListParagraph"/>
        <w:numPr>
          <w:ilvl w:val="0"/>
          <w:numId w:val="6"/>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Tax invoices and proof of payment for the disputed credit.</w:t>
      </w:r>
    </w:p>
    <w:p>
      <w:pPr>
        <w:pStyle w:val="ListParagraph"/>
        <w:numPr>
          <w:ilvl w:val="0"/>
          <w:numId w:val="6"/>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Supplier-wise certificates (CA/CMA certificate with UDIN where the difference exceeds Rs. 5,00,000; supplier certificate where up to Rs. 5,00,000), per Circular No. 183/15/2022-GST.</w:t>
      </w:r>
    </w:p>
    <w:p>
      <w:pPr>
        <w:pStyle w:val="ListParagraph"/>
        <w:numPr>
          <w:ilvl w:val="0"/>
          <w:numId w:val="6"/>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4 — Copy of the Impugned SCN / ASMT-10.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2026-06-13T08:28:08.720Z</dcterms:created>
  <dcterms:modified xsi:type="dcterms:W3CDTF">2026-06-13T08:28:08.720Z</dcterms:modified>
</cp:coreProperties>
</file>

<file path=docProps/custom.xml><?xml version="1.0" encoding="utf-8"?>
<Properties xmlns="http://schemas.openxmlformats.org/officeDocument/2006/custom-properties" xmlns:vt="http://schemas.openxmlformats.org/officeDocument/2006/docPropsVTypes"/>
</file>