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and preliminary objection to the Show Cause Notice in Form GST DRC-01 issued without prior intimation in Form GST DRC-01A under Rule 142(1A) — Reference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Show Cause Notice in Form GST DRC-01, Reference No. [____] dated [____] (the “Impugned SCN”).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and notification is marked [VERIFY] for a final check before filing. The fact that the SCN in Form DRC-01 issued without a preceding DRC-01A is reproduced from the source. The obligatory character of DRC-01A is period-sensitive — Rule 142(1A) was amended w.e.f. 15.10.2020 to make the pre-SCN intimation discretionary; the date of the proceeding must be confirmed at review.</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SCN in Form GST DRC-01 was issued without the proper officer first communicating the details of the proposed tax, interest and penalty in Form GST DRC-01A, as required by Rule 142(1A) read with Sections 73(5) and 74(5). For the period during which Rule 142(1A) was in mandatory terms (from its insertion on 9 October 2019 until its amendment on 15 October 2020), the pre-show-cause intimation was a meaningful procedural safeguard — affording the registered person the opportunity to ascertain and pay, with reduced or no penalty, before a formal notice issued. Its omission, where required, vitiates the SCN and occasions prejudice.</w:t>
      </w:r>
    </w:p>
    <w:p>
      <w:pPr>
        <w:pStyle w:val="Heading1"/>
        <w:spacing w:after="160" w:before="260"/>
      </w:pPr>
      <w:r>
        <w:rPr>
          <w:rFonts w:ascii="Times New Roman" w:cs="Times New Roman" w:eastAsia="Times New Roman" w:hAnsi="Times New Roman"/>
          <w:b/>
          <w:bCs/>
          <w:caps/>
          <w:sz w:val="26"/>
          <w:szCs w:val="26"/>
        </w:rPr>
        <w:t xml:space="preserve">Factual Background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is a registered person under the Act.</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notice. </w:t>
      </w:r>
      <w:r>
        <w:rPr>
          <w:rFonts w:ascii="Times New Roman" w:cs="Times New Roman" w:eastAsia="Times New Roman" w:hAnsi="Times New Roman"/>
          <w:b w:val="false"/>
          <w:bCs w:val="false"/>
          <w:i w:val="false"/>
          <w:iCs w:val="false"/>
          <w:caps w:val="false"/>
          <w:sz w:val="24"/>
          <w:szCs w:val="24"/>
        </w:rPr>
        <w:t xml:space="preserve">The Company received the Impugned SCN in Form GST DRC-01 on [____], bearing Reference No. [____], setting out the allegation [____]. No prior intimation in Form GST DRC-01A was issued or served before the SCN.</w:t>
      </w:r>
    </w:p>
    <w:p>
      <w:pPr>
        <w:pStyle w:val="Heading1"/>
        <w:spacing w:after="160" w:before="260"/>
      </w:pPr>
      <w:r>
        <w:rPr>
          <w:rFonts w:ascii="Times New Roman" w:cs="Times New Roman" w:eastAsia="Times New Roman" w:hAnsi="Times New Roman"/>
          <w:b/>
          <w:bCs/>
          <w:caps/>
          <w:sz w:val="26"/>
          <w:szCs w:val="26"/>
        </w:rPr>
        <w:t xml:space="preserve">Submissions</w:t>
      </w:r>
    </w:p>
    <w:p>
      <w:pPr>
        <w:pStyle w:val="Heading2"/>
        <w:spacing w:after="140" w:before="200"/>
      </w:pPr>
      <w:r>
        <w:rPr>
          <w:rFonts w:ascii="Times New Roman" w:cs="Times New Roman" w:eastAsia="Times New Roman" w:hAnsi="Times New Roman"/>
          <w:b/>
          <w:bCs/>
          <w:sz w:val="24"/>
          <w:szCs w:val="24"/>
        </w:rPr>
        <w:t xml:space="preserve">Submission 1: The statutory scheme contemplates a pre-show-cause intimation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Sections 73(5) and 74(5) entitle the person chargeable to pay the tax, with interest (and, under Section 74(5), reduced penalty), on the basis of his own or the officer’s ascertainment, </w:t>
      </w:r>
      <w:r>
        <w:rPr>
          <w:rFonts w:ascii="Times New Roman" w:cs="Times New Roman" w:eastAsia="Times New Roman" w:hAnsi="Times New Roman"/>
          <w:b w:val="false"/>
          <w:bCs w:val="false"/>
          <w:i/>
          <w:iCs/>
          <w:caps w:val="false"/>
          <w:sz w:val="24"/>
          <w:szCs w:val="24"/>
        </w:rPr>
        <w:t xml:space="preserve">before service of notice</w:t>
      </w:r>
      <w:r>
        <w:rPr>
          <w:rFonts w:ascii="Times New Roman" w:cs="Times New Roman" w:eastAsia="Times New Roman" w:hAnsi="Times New Roman"/>
          <w:b w:val="false"/>
          <w:bCs w:val="false"/>
          <w:i w:val="false"/>
          <w:iCs w:val="false"/>
          <w:caps w:val="false"/>
          <w:sz w:val="24"/>
          <w:szCs w:val="24"/>
        </w:rPr>
        <w:t xml:space="preserve">. The extracts read:</w:t>
      </w:r>
    </w:p>
    <w:p>
      <w:pPr>
        <w:spacing w:after="140" w:line="264"/>
        <w:ind w:left="720" w:right="360"/>
        <w:jc w:val="both"/>
      </w:pPr>
      <w:r>
        <w:rPr>
          <w:rFonts w:ascii="Times New Roman" w:cs="Times New Roman" w:eastAsia="Times New Roman" w:hAnsi="Times New Roman"/>
          <w:i/>
          <w:iCs/>
          <w:sz w:val="22"/>
          <w:szCs w:val="22"/>
        </w:rPr>
        <w:t xml:space="preserve">Section 73(5): The person chargeable with tax may, before service of notice under sub-section (1) or, as the case may be, the statement under sub-section (3), pay the amount of tax along with interest payable thereon under section 50 on the basis of his own ascertainment of such tax or the tax as ascertained by the proper officer and inform the proper officer in writing of such payment.</w:t>
      </w:r>
    </w:p>
    <w:p>
      <w:pPr>
        <w:spacing w:after="140" w:line="264"/>
        <w:ind w:left="720" w:right="360"/>
        <w:jc w:val="both"/>
      </w:pPr>
      <w:r>
        <w:rPr>
          <w:rFonts w:ascii="Times New Roman" w:cs="Times New Roman" w:eastAsia="Times New Roman" w:hAnsi="Times New Roman"/>
          <w:i/>
          <w:iCs/>
          <w:sz w:val="22"/>
          <w:szCs w:val="22"/>
        </w:rPr>
        <w:t xml:space="preserve">Section 74(5): The person chargeable with tax may, before service of notice under sub-section (1), pay the amount of tax along with interest payable under section 50 and a penalty equivalent to fifteen per cent. of such tax on the basis of his own ascertainment of such tax or the tax as ascertained by the proper officer and inform the proper officer in writing of such payment.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142(1A) operationalises this scheme. As inserted by Notification No. 49/2019-Central Tax dated 09.10.2019 [VERIFY], it required (in mandatory terms — “shall”) the communication of the proposed liability in Form GST DRC-01A before the SCN; it was amended by Notification No. 79/2020-Central Tax dated 15.10.2020 [VERIFY] substituting “shall” with “may.” For proceedings falling in the mandatory window, the pre-SCN intimation is the procedural vehicle through which the Section 73(5)/74(5) opportunity is made real.</w:t>
      </w:r>
    </w:p>
    <w:p>
      <w:pPr>
        <w:pStyle w:val="Heading2"/>
        <w:spacing w:after="140" w:before="200"/>
      </w:pPr>
      <w:r>
        <w:rPr>
          <w:rFonts w:ascii="Times New Roman" w:cs="Times New Roman" w:eastAsia="Times New Roman" w:hAnsi="Times New Roman"/>
          <w:b/>
          <w:bCs/>
          <w:sz w:val="24"/>
          <w:szCs w:val="24"/>
        </w:rPr>
        <w:t xml:space="preserve">Submission 2: Omission of DRC-01A, where mandatory, vitiates the SCN and causes prejudice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the proceeding falls in the period during which Rule 142(1A) required Form GST DRC-01A, its omission deprives the Company of the statutory opportunity to ascertain and pay with reduced or no penalty, and is not an empty formality. Reliance is placed on </w:t>
      </w:r>
      <w:r>
        <w:rPr>
          <w:rFonts w:ascii="Times New Roman" w:cs="Times New Roman" w:eastAsia="Times New Roman" w:hAnsi="Times New Roman"/>
          <w:b w:val="false"/>
          <w:bCs w:val="false"/>
          <w:i/>
          <w:iCs/>
          <w:caps w:val="false"/>
          <w:sz w:val="24"/>
          <w:szCs w:val="24"/>
        </w:rPr>
        <w:t xml:space="preserve">New Morning Star Travels v. Deputy Commissioner (ST)</w:t>
      </w:r>
      <w:r>
        <w:rPr>
          <w:rFonts w:ascii="Times New Roman" w:cs="Times New Roman" w:eastAsia="Times New Roman" w:hAnsi="Times New Roman"/>
          <w:b w:val="false"/>
          <w:bCs w:val="false"/>
          <w:i w:val="false"/>
          <w:iCs w:val="false"/>
          <w:caps w:val="false"/>
          <w:sz w:val="24"/>
          <w:szCs w:val="24"/>
        </w:rPr>
        <w:t xml:space="preserve">, Andhra Pradesh HC, W.P. No. 12850 of 2022, dated 12.10.2023 [VERIFY] (for the period 01.07.2017 to 31.03.2021 the DRC-01A intimation was held mandatory, ambiguity being resolved in the taxpayer’s favour); </w:t>
      </w:r>
      <w:r>
        <w:rPr>
          <w:rFonts w:ascii="Times New Roman" w:cs="Times New Roman" w:eastAsia="Times New Roman" w:hAnsi="Times New Roman"/>
          <w:b w:val="false"/>
          <w:bCs w:val="false"/>
          <w:i/>
          <w:iCs/>
          <w:caps w:val="false"/>
          <w:sz w:val="24"/>
          <w:szCs w:val="24"/>
        </w:rPr>
        <w:t xml:space="preserve">Ravi Enterprises v. Commissioner of State Tax</w:t>
      </w:r>
      <w:r>
        <w:rPr>
          <w:rFonts w:ascii="Times New Roman" w:cs="Times New Roman" w:eastAsia="Times New Roman" w:hAnsi="Times New Roman"/>
          <w:b w:val="false"/>
          <w:bCs w:val="false"/>
          <w:i w:val="false"/>
          <w:iCs w:val="false"/>
          <w:caps w:val="false"/>
          <w:sz w:val="24"/>
          <w:szCs w:val="24"/>
        </w:rPr>
        <w:t xml:space="preserve">, Uttarakhand HC [VERIFY] (assessment order quashed for denial of the DRC-01A opportunity); and </w:t>
      </w:r>
      <w:r>
        <w:rPr>
          <w:rFonts w:ascii="Times New Roman" w:cs="Times New Roman" w:eastAsia="Times New Roman" w:hAnsi="Times New Roman"/>
          <w:b w:val="false"/>
          <w:bCs w:val="false"/>
          <w:i/>
          <w:iCs/>
          <w:caps w:val="false"/>
          <w:sz w:val="24"/>
          <w:szCs w:val="24"/>
        </w:rPr>
        <w:t xml:space="preserve">Nanhey Mal Munna Lal v. State of U.P.</w:t>
      </w:r>
      <w:r>
        <w:rPr>
          <w:rFonts w:ascii="Times New Roman" w:cs="Times New Roman" w:eastAsia="Times New Roman" w:hAnsi="Times New Roman"/>
          <w:b w:val="false"/>
          <w:bCs w:val="false"/>
          <w:i w:val="false"/>
          <w:iCs w:val="false"/>
          <w:caps w:val="false"/>
          <w:sz w:val="24"/>
          <w:szCs w:val="24"/>
        </w:rPr>
        <w:t xml:space="preserve">, Allahabad HC [VERIFY]. The Impugned SCN ought therefore to be held bad for want of the mandatory pre-SCN intimation, or, at the least, the matter remitted to the DRC-01A stage so that the Company may avail the Section 73(5)/74(5) opportunity.</w:t>
      </w:r>
    </w:p>
    <w:p>
      <w:pPr>
        <w:spacing w:after="120" w:before="120"/>
        <w:jc w:val="both"/>
      </w:pPr>
      <w:r>
        <w:rPr>
          <w:rFonts w:ascii="Times New Roman" w:cs="Times New Roman" w:eastAsia="Times New Roman" w:hAnsi="Times New Roman"/>
          <w:b/>
          <w:bCs/>
          <w:i/>
          <w:iCs/>
          <w:sz w:val="20"/>
          <w:szCs w:val="20"/>
        </w:rPr>
        <w:t xml:space="preserve">Caution (for review): </w:t>
      </w:r>
      <w:r>
        <w:rPr>
          <w:rFonts w:ascii="Times New Roman" w:cs="Times New Roman" w:eastAsia="Times New Roman" w:hAnsi="Times New Roman"/>
          <w:i/>
          <w:iCs/>
          <w:sz w:val="20"/>
          <w:szCs w:val="20"/>
        </w:rPr>
        <w:t xml:space="preserve">This ground is period-sensitive. It is strong where the Impugned SCN issued on or before 14.10.2020 (mandatory ‘shall’). For SCNs issued on or after 15.10.2020 the requirement is, on the amended rule, directory (‘may’), and some High Courts have so held in fraud / fake-ITC matters; in that event this ground should be recast or dropped in favour of the substance of the Section 73(5)/74(5) opportunity. Confirm the date of the SCN before filing.</w:t>
      </w:r>
    </w:p>
    <w:p>
      <w:pPr>
        <w:pStyle w:val="Heading2"/>
        <w:spacing w:after="140" w:before="200"/>
      </w:pPr>
      <w:r>
        <w:rPr>
          <w:rFonts w:ascii="Times New Roman" w:cs="Times New Roman" w:eastAsia="Times New Roman" w:hAnsi="Times New Roman"/>
          <w:b/>
          <w:bCs/>
          <w:sz w:val="24"/>
          <w:szCs w:val="24"/>
        </w:rPr>
        <w:t xml:space="preserve">Submission 3 (without prejudice): Reservation on merits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procedural objection, the Company reserves the right to file a detailed reply on the merits once the procedural defect is cured and the relied-upon material is furnished. The present reply is confined to the preliminary objection and is not a reply on merits.</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Impugned SCN in Form GST DRC-01, issued without the intimation in Form GST DRC-01A required (for the relevant period) by Rule 142(1A) read with Sections 73(5)/74(5), is bad in law; or in the alternative, REMIT the matter to the DRC-01A stage;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AFFORD the Company the opportunity under Section 73(5)/74(5) to ascertain and pay before any SCN proceeds;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further submissions and to be heard.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73(5) and 74(5) of the CGST Act, 2017; Rule 142(1) and 142(1A) of the CGST Rules, 2017 (Forms GST DRC-01A and DRC-01).</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Rule 142(1A) inserted by Notification No. 49/2019-Central Tax dated 09.10.2019 (mandatory); amended by Notification No. 79/2020-Central Tax dated 15.10.2020 (discretionary).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New Morning Star Travels v. Deputy Commissioner (ST), Andhra Pradesh HC, W.P. No. 12850 of 2022, 12.10.2023.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Ravi Enterprises v. Commissioner of State Tax, Uttarakhand HC; Nanhey Mal Munna Lal v. State of U.P., Allahabad HC.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2026-06-13T08:28:08.783Z</dcterms:created>
  <dcterms:modified xsi:type="dcterms:W3CDTF">2026-06-13T08:28:08.783Z</dcterms:modified>
</cp:coreProperties>
</file>

<file path=docProps/custom.xml><?xml version="1.0" encoding="utf-8"?>
<Properties xmlns="http://schemas.openxmlformats.org/officeDocument/2006/custom-properties" xmlns:vt="http://schemas.openxmlformats.org/officeDocument/2006/docPropsVTypes"/>
</file>