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line="276"/>
        <w:jc w:val="both"/>
      </w:pPr>
      <w:r>
        <w:rPr>
          <w:rFonts w:ascii="Times New Roman" w:cs="Times New Roman" w:eastAsia="Times New Roman" w:hAnsi="Times New Roman"/>
          <w:b w:val="false"/>
          <w:bCs w:val="false"/>
          <w:i w:val="false"/>
          <w:iCs w:val="false"/>
          <w:caps w:val="false"/>
          <w:sz w:val="24"/>
          <w:szCs w:val="24"/>
        </w:rPr>
        <w:t xml:space="preserve">To,</w:t>
      </w:r>
    </w:p>
    <w:p>
      <w:pPr>
        <w:spacing w:after="20" w:line="276"/>
        <w:jc w:val="both"/>
      </w:pPr>
      <w:r>
        <w:rPr>
          <w:rFonts w:ascii="Times New Roman" w:cs="Times New Roman" w:eastAsia="Times New Roman" w:hAnsi="Times New Roman"/>
          <w:b w:val="false"/>
          <w:bCs w:val="false"/>
          <w:i w:val="false"/>
          <w:iCs w:val="false"/>
          <w:caps w:val="false"/>
          <w:sz w:val="24"/>
          <w:szCs w:val="24"/>
        </w:rPr>
        <w:t xml:space="preserve">The Learned Assistant Commissioner / Adjudicating Authority</w:t>
      </w:r>
    </w:p>
    <w:p>
      <w:pPr>
        <w:spacing w:after="20" w:line="276"/>
        <w:jc w:val="both"/>
      </w:pPr>
      <w:r>
        <w:rPr>
          <w:rFonts w:ascii="Times New Roman" w:cs="Times New Roman" w:eastAsia="Times New Roman" w:hAnsi="Times New Roman"/>
          <w:b w:val="false"/>
          <w:bCs w:val="false"/>
          <w:i w:val="false"/>
          <w:iCs w:val="false"/>
          <w:caps w:val="false"/>
          <w:sz w:val="24"/>
          <w:szCs w:val="24"/>
        </w:rPr>
        <w:t xml:space="preserve">[Designation, Ward / Circle / Jurisdiction of the Proper Officer]</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[Office Address]</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Through: </w:t>
      </w:r>
      <w:r>
        <w:rPr>
          <w:rFonts w:ascii="Times New Roman" w:cs="Times New Roman" w:eastAsia="Times New Roman" w:hAnsi="Times New Roman"/>
          <w:b w:val="false"/>
          <w:bCs w:val="false"/>
          <w:i w:val="false"/>
          <w:iCs w:val="false"/>
          <w:caps w:val="false"/>
          <w:sz w:val="24"/>
          <w:szCs w:val="24"/>
        </w:rPr>
        <w:t xml:space="preserve">the common portal and by e-mail / hand delivery</w:t>
      </w:r>
    </w:p>
    <w:p>
      <w:pPr>
        <w:spacing w:after="60" w:line="276"/>
        <w:jc w:val="both"/>
      </w:pPr>
      <w:r>
        <w:rPr>
          <w:rFonts w:ascii="Times New Roman" w:cs="Times New Roman" w:eastAsia="Times New Roman" w:hAnsi="Times New Roman"/>
          <w:b w:val="false"/>
          <w:bCs w:val="false"/>
          <w:i w:val="false"/>
          <w:iCs w:val="false"/>
          <w:caps w:val="false"/>
          <w:sz w:val="24"/>
          <w:szCs w:val="24"/>
        </w:rPr>
        <w:t xml:space="preserve">In the matter of: </w:t>
      </w:r>
      <w:r>
        <w:rPr>
          <w:rFonts w:ascii="Times New Roman" w:cs="Times New Roman" w:eastAsia="Times New Roman" w:hAnsi="Times New Roman"/>
          <w:b/>
          <w:bCs/>
          <w:i w:val="false"/>
          <w:iCs w:val="false"/>
          <w:caps w:val="false"/>
          <w:sz w:val="24"/>
          <w:szCs w:val="24"/>
        </w:rPr>
        <w:t xml:space="preserve">M/s Noticedesk Technologies Private Limited</w:t>
      </w:r>
      <w:r>
        <w:rPr>
          <w:rFonts w:ascii="Times New Roman" w:cs="Times New Roman" w:eastAsia="Times New Roman" w:hAnsi="Times New Roman"/>
          <w:b w:val="false"/>
          <w:bCs w:val="false"/>
          <w:i w:val="false"/>
          <w:iCs w:val="false"/>
          <w:caps w:val="false"/>
          <w:sz w:val="24"/>
          <w:szCs w:val="24"/>
        </w:rPr>
        <w:t xml:space="preserve">  |  GSTIN [____________]  |  [Registered Address]</w:t>
      </w:r>
    </w:p>
    <w:p>
      <w:pPr>
        <w:spacing w:after="60" w:line="276"/>
        <w:jc w:val="both"/>
      </w:pPr>
      <w:r>
        <w:rPr>
          <w:rFonts w:ascii="Times New Roman" w:cs="Times New Roman" w:eastAsia="Times New Roman" w:hAnsi="Times New Roman"/>
          <w:b/>
          <w:bCs/>
          <w:i w:val="false"/>
          <w:iCs w:val="false"/>
          <w:caps w:val="false"/>
          <w:sz w:val="24"/>
          <w:szCs w:val="24"/>
        </w:rPr>
        <w:t xml:space="preserve">Subject: </w:t>
      </w:r>
      <w:r>
        <w:rPr>
          <w:rFonts w:ascii="Times New Roman" w:cs="Times New Roman" w:eastAsia="Times New Roman" w:hAnsi="Times New Roman"/>
          <w:b/>
          <w:bCs/>
          <w:i w:val="false"/>
          <w:iCs w:val="false"/>
          <w:caps w:val="false"/>
          <w:sz w:val="24"/>
          <w:szCs w:val="24"/>
        </w:rPr>
        <w:t xml:space="preserve">Reply to the Show Cause Notice in Form GST DRC-01 under Section 74 read with Rule 142 alleging wrongful availment of input tax credit on alleged ‘fake’ / non-genuine invoices and proposing reversal of input tax credit with interest and penalty — Letter No. [____] dated [____].</w:t>
      </w:r>
    </w:p>
    <w:p>
      <w:pPr>
        <w:spacing w:after="120" w:line="276"/>
        <w:jc w:val="both"/>
      </w:pPr>
      <w:r>
        <w:rPr>
          <w:rFonts w:ascii="Times New Roman" w:cs="Times New Roman" w:eastAsia="Times New Roman" w:hAnsi="Times New Roman"/>
          <w:b/>
          <w:bCs/>
          <w:i w:val="false"/>
          <w:iCs w:val="false"/>
          <w:caps w:val="false"/>
          <w:sz w:val="24"/>
          <w:szCs w:val="24"/>
        </w:rPr>
        <w:t xml:space="preserve">Ref: </w:t>
      </w:r>
      <w:r>
        <w:rPr>
          <w:rFonts w:ascii="Times New Roman" w:cs="Times New Roman" w:eastAsia="Times New Roman" w:hAnsi="Times New Roman"/>
          <w:b w:val="false"/>
          <w:bCs w:val="false"/>
          <w:i w:val="false"/>
          <w:iCs w:val="false"/>
          <w:caps w:val="false"/>
          <w:sz w:val="24"/>
          <w:szCs w:val="24"/>
        </w:rPr>
        <w:t xml:space="preserve">Letter No. [____] dated [____] (the “Impugned SCN”).</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Respected Sir / Madam,</w:t>
      </w:r>
    </w:p>
    <w:p>
      <w:pPr>
        <w:spacing w:after="120"/>
        <w:jc w:val="both"/>
      </w:pPr>
      <w:r>
        <w:rPr>
          <w:rFonts w:ascii="Times New Roman" w:cs="Times New Roman" w:eastAsia="Times New Roman" w:hAnsi="Times New Roman"/>
          <w:b/>
          <w:bCs/>
          <w:i/>
          <w:iCs/>
          <w:sz w:val="20"/>
          <w:szCs w:val="20"/>
        </w:rPr>
        <w:t xml:space="preserve">Drafting note (to be removed before filing): </w:t>
      </w:r>
      <w:r>
        <w:rPr>
          <w:rFonts w:ascii="Times New Roman" w:cs="Times New Roman" w:eastAsia="Times New Roman" w:hAnsi="Times New Roman"/>
          <w:i/>
          <w:iCs/>
          <w:sz w:val="20"/>
          <w:szCs w:val="20"/>
        </w:rPr>
        <w:t xml:space="preserve">Particulars in bold square brackets are placeholders. Every case authority, circular and press release is marked [VERIFY] for a final check before filing. The allegations (non-existence of the supplier; the supplier’s alleged statement; reliance on a DGGI / Anti-Evasion report) and the figure of Rs. 100 (as recited) are reproduced from the Impugned SCN.</w:t>
      </w:r>
    </w:p>
    <w:p>
      <w:pPr>
        <w:pStyle w:val="Heading1"/>
        <w:spacing w:after="160" w:before="260"/>
      </w:pPr>
      <w:r>
        <w:rPr>
          <w:rFonts w:ascii="Times New Roman" w:cs="Times New Roman" w:eastAsia="Times New Roman" w:hAnsi="Times New Roman"/>
          <w:b/>
          <w:bCs/>
          <w:caps/>
          <w:sz w:val="26"/>
          <w:szCs w:val="26"/>
        </w:rPr>
        <w:t xml:space="preserve">Synopsis</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The Impugned SCN denies the Company input tax credit availed on supplies received from M/s ABC Ltd (the “Supplier”), alleging that the Supplier did not exist at its principal place of business and is said to have admitted issuing invoices without supplying goods, the case resting on a report of the DGGI / Anti-Evasion wing and a third party’s statement. The Company is a </w:t>
      </w:r>
      <w:r>
        <w:rPr>
          <w:rFonts w:ascii="Times New Roman" w:cs="Times New Roman" w:eastAsia="Times New Roman" w:hAnsi="Times New Roman"/>
          <w:b/>
          <w:bCs/>
          <w:i w:val="false"/>
          <w:iCs w:val="false"/>
          <w:caps w:val="false"/>
          <w:sz w:val="24"/>
          <w:szCs w:val="24"/>
        </w:rPr>
        <w:t xml:space="preserve">bona fide recipient</w:t>
      </w:r>
      <w:r>
        <w:rPr>
          <w:rFonts w:ascii="Times New Roman" w:cs="Times New Roman" w:eastAsia="Times New Roman" w:hAnsi="Times New Roman"/>
          <w:b w:val="false"/>
          <w:bCs w:val="false"/>
          <w:i w:val="false"/>
          <w:iCs w:val="false"/>
          <w:caps w:val="false"/>
          <w:sz w:val="24"/>
          <w:szCs w:val="24"/>
        </w:rPr>
        <w:t xml:space="preserve"> that received the goods, holds valid tax invoices, and paid the Supplier including tax through banking channels. The SCN is unsustainable on several independent grounds: it is vague and non-specific; it rests on relied-upon documents and statements neither furnished to the Company nor tested by cross-examination, in breach of Section 75(4) and natural justice; it visits a supplier’s default on a bona fide recipient; recovery, if any, must first be made from the defaulting Supplier; and Section 74 is not attracted as against the Company, no fraud, wilful misstatement or suppression being present.</w:t>
      </w:r>
    </w:p>
    <w:p>
      <w:pPr>
        <w:pStyle w:val="Heading1"/>
        <w:spacing w:after="160" w:before="260"/>
      </w:pPr>
      <w:r>
        <w:rPr>
          <w:rFonts w:ascii="Times New Roman" w:cs="Times New Roman" w:eastAsia="Times New Roman" w:hAnsi="Times New Roman"/>
          <w:b/>
          <w:bCs/>
          <w:caps/>
          <w:sz w:val="26"/>
          <w:szCs w:val="26"/>
        </w:rPr>
        <w:t xml:space="preserve">Statement of Facts</w:t>
      </w:r>
    </w:p>
    <w:p>
      <w:pPr>
        <w:pStyle w:val="ListParagraph"/>
        <w:numPr>
          <w:ilvl w:val="0"/>
          <w:numId w:val="2"/>
        </w:numPr>
        <w:spacing w:after="140" w:line="276"/>
        <w:jc w:val="both"/>
      </w:pPr>
      <w:r>
        <w:rPr>
          <w:rFonts w:ascii="Times New Roman" w:cs="Times New Roman" w:eastAsia="Times New Roman" w:hAnsi="Times New Roman"/>
          <w:b/>
          <w:bCs/>
          <w:i w:val="false"/>
          <w:iCs w:val="false"/>
          <w:caps w:val="false"/>
          <w:sz w:val="24"/>
          <w:szCs w:val="24"/>
        </w:rPr>
        <w:t xml:space="preserve">The Company. </w:t>
      </w:r>
      <w:r>
        <w:rPr>
          <w:rFonts w:ascii="Times New Roman" w:cs="Times New Roman" w:eastAsia="Times New Roman" w:hAnsi="Times New Roman"/>
          <w:b w:val="false"/>
          <w:bCs w:val="false"/>
          <w:i w:val="false"/>
          <w:iCs w:val="false"/>
          <w:caps w:val="false"/>
          <w:sz w:val="24"/>
          <w:szCs w:val="24"/>
        </w:rPr>
        <w:t xml:space="preserve">M/s Noticedesk Technologies Private Limited, GSTIN [____________], carries on business in the ordinary course and in compliance with the Act.</w:t>
      </w:r>
    </w:p>
    <w:p>
      <w:pPr>
        <w:pStyle w:val="ListParagraph"/>
        <w:numPr>
          <w:ilvl w:val="0"/>
          <w:numId w:val="2"/>
        </w:numPr>
        <w:spacing w:after="140" w:line="276"/>
        <w:jc w:val="both"/>
      </w:pPr>
      <w:r>
        <w:rPr>
          <w:rFonts w:ascii="Times New Roman" w:cs="Times New Roman" w:eastAsia="Times New Roman" w:hAnsi="Times New Roman"/>
          <w:b/>
          <w:bCs/>
          <w:i w:val="false"/>
          <w:iCs w:val="false"/>
          <w:caps w:val="false"/>
          <w:sz w:val="24"/>
          <w:szCs w:val="24"/>
        </w:rPr>
        <w:t xml:space="preserve">The transaction. </w:t>
      </w:r>
      <w:r>
        <w:rPr>
          <w:rFonts w:ascii="Times New Roman" w:cs="Times New Roman" w:eastAsia="Times New Roman" w:hAnsi="Times New Roman"/>
          <w:b w:val="false"/>
          <w:bCs w:val="false"/>
          <w:i w:val="false"/>
          <w:iCs w:val="false"/>
          <w:caps w:val="false"/>
          <w:sz w:val="24"/>
          <w:szCs w:val="24"/>
        </w:rPr>
        <w:t xml:space="preserve">The Company purchased goods from the Supplier under valid tax invoices, received the goods, and paid the Supplier the price together with tax through banking channels. The credit so availed (Rs. 100, as recited in the notice) is the credit now in dispute.</w:t>
      </w:r>
    </w:p>
    <w:p>
      <w:pPr>
        <w:pStyle w:val="ListParagraph"/>
        <w:numPr>
          <w:ilvl w:val="0"/>
          <w:numId w:val="2"/>
        </w:numPr>
        <w:spacing w:after="140" w:line="276"/>
        <w:jc w:val="both"/>
      </w:pPr>
      <w:r>
        <w:rPr>
          <w:rFonts w:ascii="Times New Roman" w:cs="Times New Roman" w:eastAsia="Times New Roman" w:hAnsi="Times New Roman"/>
          <w:b/>
          <w:bCs/>
          <w:i w:val="false"/>
          <w:iCs w:val="false"/>
          <w:caps w:val="false"/>
          <w:sz w:val="24"/>
          <w:szCs w:val="24"/>
        </w:rPr>
        <w:t xml:space="preserve">The conditions of Section 16 were satisfied. </w:t>
      </w:r>
      <w:r>
        <w:rPr>
          <w:rFonts w:ascii="Times New Roman" w:cs="Times New Roman" w:eastAsia="Times New Roman" w:hAnsi="Times New Roman"/>
          <w:b w:val="false"/>
          <w:bCs w:val="false"/>
          <w:i w:val="false"/>
          <w:iCs w:val="false"/>
          <w:caps w:val="false"/>
          <w:sz w:val="24"/>
          <w:szCs w:val="24"/>
        </w:rPr>
        <w:t xml:space="preserve">At the time of availment the Company was in possession of the tax invoice, had received the goods, the tax stood charged, and the Company furnished its return — satisfying each limb of Section 16(2). The genuineness of the transaction is borne out by the invoices, the transport / e-way bill documents, and the banking trail.</w:t>
      </w:r>
    </w:p>
    <w:p>
      <w:pPr>
        <w:pStyle w:val="ListParagraph"/>
        <w:numPr>
          <w:ilvl w:val="0"/>
          <w:numId w:val="2"/>
        </w:numPr>
        <w:spacing w:after="140" w:line="276"/>
        <w:jc w:val="both"/>
      </w:pPr>
      <w:r>
        <w:rPr>
          <w:rFonts w:ascii="Times New Roman" w:cs="Times New Roman" w:eastAsia="Times New Roman" w:hAnsi="Times New Roman"/>
          <w:b/>
          <w:bCs/>
          <w:i w:val="false"/>
          <w:iCs w:val="false"/>
          <w:caps w:val="false"/>
          <w:sz w:val="24"/>
          <w:szCs w:val="24"/>
        </w:rPr>
        <w:t xml:space="preserve">The allegation. </w:t>
      </w:r>
      <w:r>
        <w:rPr>
          <w:rFonts w:ascii="Times New Roman" w:cs="Times New Roman" w:eastAsia="Times New Roman" w:hAnsi="Times New Roman"/>
          <w:b w:val="false"/>
          <w:bCs w:val="false"/>
          <w:i w:val="false"/>
          <w:iCs w:val="false"/>
          <w:caps w:val="false"/>
          <w:sz w:val="24"/>
          <w:szCs w:val="24"/>
        </w:rPr>
        <w:t xml:space="preserve">The Impugned SCN alleges that the Supplier was not found at its principal place of business and is said to have stated that it issued invoices without supplying goods; it relies on a DGGI / Anti-Evasion report and proposes reversal with interest under Section 50 and penalty under Section 122 / 74.</w:t>
      </w:r>
    </w:p>
    <w:p>
      <w:pPr>
        <w:pStyle w:val="ListParagraph"/>
        <w:numPr>
          <w:ilvl w:val="0"/>
          <w:numId w:val="2"/>
        </w:numPr>
        <w:spacing w:after="140" w:line="276"/>
        <w:jc w:val="both"/>
      </w:pPr>
      <w:r>
        <w:rPr>
          <w:rFonts w:ascii="Times New Roman" w:cs="Times New Roman" w:eastAsia="Times New Roman" w:hAnsi="Times New Roman"/>
          <w:b/>
          <w:bCs/>
          <w:i w:val="false"/>
          <w:iCs w:val="false"/>
          <w:caps w:val="false"/>
          <w:sz w:val="24"/>
          <w:szCs w:val="24"/>
        </w:rPr>
        <w:t xml:space="preserve">Documents withheld. </w:t>
      </w:r>
      <w:r>
        <w:rPr>
          <w:rFonts w:ascii="Times New Roman" w:cs="Times New Roman" w:eastAsia="Times New Roman" w:hAnsi="Times New Roman"/>
          <w:b w:val="false"/>
          <w:bCs w:val="false"/>
          <w:i w:val="false"/>
          <w:iCs w:val="false"/>
          <w:caps w:val="false"/>
          <w:sz w:val="24"/>
          <w:szCs w:val="24"/>
        </w:rPr>
        <w:t xml:space="preserve">The relied-upon documents — the inspection / verification report, the statement attributed to the Supplier, and the DGGI / Anti-Evasion communication — have not been furnished, and no opportunity to cross-examine the makers of those statements has been afforded.</w:t>
      </w:r>
    </w:p>
    <w:p>
      <w:pPr>
        <w:pStyle w:val="ListParagraph"/>
        <w:numPr>
          <w:ilvl w:val="0"/>
          <w:numId w:val="2"/>
        </w:numPr>
        <w:spacing w:after="140" w:line="276"/>
        <w:jc w:val="both"/>
      </w:pPr>
      <w:r>
        <w:rPr>
          <w:rFonts w:ascii="Times New Roman" w:cs="Times New Roman" w:eastAsia="Times New Roman" w:hAnsi="Times New Roman"/>
          <w:b/>
          <w:bCs/>
          <w:i w:val="false"/>
          <w:iCs w:val="false"/>
          <w:caps w:val="false"/>
          <w:sz w:val="24"/>
          <w:szCs w:val="24"/>
        </w:rPr>
        <w:t xml:space="preserve">Procedural chronology.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3200"/>
        <w:gridCol w:w="4326"/>
      </w:tblGrid>
      <w:tr>
        <w:trPr>
          <w:tblHeader/>
        </w:trPr>
        <w:tc>
          <w:tcPr>
            <w:tcW w:type="dxa" w:w="1500"/>
            <w:tcBorders>
              <w:top w:val="single" w:color="808080" w:sz="4"/>
              <w:left w:val="single" w:color="808080" w:sz="4"/>
              <w:bottom w:val="single" w:color="808080" w:sz="4"/>
              <w:right w:val="single" w:color="808080" w:sz="4"/>
            </w:tcBorders>
            <w:shd w:fill="D9D9D9" w:color="auto" w:val="clear"/>
            <w:tcMar>
              <w:top w:type="dxa" w:w="60"/>
              <w:left w:type="dxa" w:w="110"/>
              <w:bottom w:type="dxa" w:w="60"/>
              <w:right w:type="dxa" w:w="110"/>
            </w:tcMar>
          </w:tcPr>
          <w:p>
            <w:pPr>
              <w:spacing w:after="0" w:line="252"/>
            </w:pPr>
            <w:r>
              <w:rPr>
                <w:rFonts w:ascii="Times New Roman" w:cs="Times New Roman" w:eastAsia="Times New Roman" w:hAnsi="Times New Roman"/>
                <w:b/>
                <w:bCs/>
                <w:sz w:val="21"/>
                <w:szCs w:val="21"/>
              </w:rPr>
              <w:t xml:space="preserve">Date</w:t>
            </w:r>
          </w:p>
        </w:tc>
        <w:tc>
          <w:tcPr>
            <w:tcW w:type="dxa" w:w="3200"/>
            <w:tcBorders>
              <w:top w:val="single" w:color="808080" w:sz="4"/>
              <w:left w:val="single" w:color="808080" w:sz="4"/>
              <w:bottom w:val="single" w:color="808080" w:sz="4"/>
              <w:right w:val="single" w:color="808080" w:sz="4"/>
            </w:tcBorders>
            <w:shd w:fill="D9D9D9" w:color="auto" w:val="clear"/>
            <w:tcMar>
              <w:top w:type="dxa" w:w="60"/>
              <w:left w:type="dxa" w:w="110"/>
              <w:bottom w:type="dxa" w:w="60"/>
              <w:right w:type="dxa" w:w="110"/>
            </w:tcMar>
          </w:tcPr>
          <w:p>
            <w:pPr>
              <w:spacing w:after="0" w:line="252"/>
            </w:pPr>
            <w:r>
              <w:rPr>
                <w:rFonts w:ascii="Times New Roman" w:cs="Times New Roman" w:eastAsia="Times New Roman" w:hAnsi="Times New Roman"/>
                <w:b/>
                <w:bCs/>
                <w:sz w:val="21"/>
                <w:szCs w:val="21"/>
              </w:rPr>
              <w:t xml:space="preserve">Event / Stage</w:t>
            </w:r>
          </w:p>
        </w:tc>
        <w:tc>
          <w:tcPr>
            <w:tcW w:type="dxa" w:w="4326"/>
            <w:tcBorders>
              <w:top w:val="single" w:color="808080" w:sz="4"/>
              <w:left w:val="single" w:color="808080" w:sz="4"/>
              <w:bottom w:val="single" w:color="808080" w:sz="4"/>
              <w:right w:val="single" w:color="808080" w:sz="4"/>
            </w:tcBorders>
            <w:shd w:fill="D9D9D9" w:color="auto" w:val="clear"/>
            <w:tcMar>
              <w:top w:type="dxa" w:w="60"/>
              <w:left w:type="dxa" w:w="110"/>
              <w:bottom w:type="dxa" w:w="60"/>
              <w:right w:type="dxa" w:w="110"/>
            </w:tcMar>
          </w:tcPr>
          <w:p>
            <w:pPr>
              <w:spacing w:after="0" w:line="252"/>
            </w:pPr>
            <w:r>
              <w:rPr>
                <w:rFonts w:ascii="Times New Roman" w:cs="Times New Roman" w:eastAsia="Times New Roman" w:hAnsi="Times New Roman"/>
                <w:b/>
                <w:bCs/>
                <w:sz w:val="21"/>
                <w:szCs w:val="21"/>
              </w:rPr>
              <w:t xml:space="preserve">Document / Reference</w:t>
            </w:r>
          </w:p>
        </w:tc>
      </w:tr>
      <w:tr>
        <w:tc>
          <w:tcPr>
            <w:tcW w:type="dxa" w:w="1500"/>
            <w:tcBorders>
              <w:top w:val="single" w:color="808080" w:sz="4"/>
              <w:left w:val="single" w:color="808080" w:sz="4"/>
              <w:bottom w:val="single" w:color="808080" w:sz="4"/>
              <w:right w:val="single" w:color="808080" w:sz="4"/>
            </w:tcBorders>
            <w:tcMar>
              <w:top w:type="dxa" w:w="60"/>
              <w:left w:type="dxa" w:w="110"/>
              <w:bottom w:type="dxa" w:w="60"/>
              <w:right w:type="dxa" w:w="110"/>
            </w:tcMar>
          </w:tcPr>
          <w:p>
            <w:pPr>
              <w:spacing w:after="0" w:line="252"/>
            </w:pPr>
            <w:r>
              <w:rPr>
                <w:rFonts w:ascii="Times New Roman" w:cs="Times New Roman" w:eastAsia="Times New Roman" w:hAnsi="Times New Roman"/>
                <w:b w:val="false"/>
                <w:bCs w:val="false"/>
                <w:sz w:val="21"/>
                <w:szCs w:val="21"/>
              </w:rPr>
              <w:t xml:space="preserve">[date]</w:t>
            </w:r>
          </w:p>
        </w:tc>
        <w:tc>
          <w:tcPr>
            <w:tcW w:type="dxa" w:w="3200"/>
            <w:tcBorders>
              <w:top w:val="single" w:color="808080" w:sz="4"/>
              <w:left w:val="single" w:color="808080" w:sz="4"/>
              <w:bottom w:val="single" w:color="808080" w:sz="4"/>
              <w:right w:val="single" w:color="808080" w:sz="4"/>
            </w:tcBorders>
            <w:tcMar>
              <w:top w:type="dxa" w:w="60"/>
              <w:left w:type="dxa" w:w="110"/>
              <w:bottom w:type="dxa" w:w="60"/>
              <w:right w:type="dxa" w:w="110"/>
            </w:tcMar>
          </w:tcPr>
          <w:p>
            <w:pPr>
              <w:spacing w:after="0" w:line="252"/>
            </w:pPr>
            <w:r>
              <w:rPr>
                <w:rFonts w:ascii="Times New Roman" w:cs="Times New Roman" w:eastAsia="Times New Roman" w:hAnsi="Times New Roman"/>
                <w:b w:val="false"/>
                <w:bCs w:val="false"/>
                <w:sz w:val="21"/>
                <w:szCs w:val="21"/>
              </w:rPr>
              <w:t xml:space="preserve">Goods purchased under tax invoice; payment through banking channel</w:t>
            </w:r>
          </w:p>
        </w:tc>
        <w:tc>
          <w:tcPr>
            <w:tcW w:type="dxa" w:w="4326"/>
            <w:tcBorders>
              <w:top w:val="single" w:color="808080" w:sz="4"/>
              <w:left w:val="single" w:color="808080" w:sz="4"/>
              <w:bottom w:val="single" w:color="808080" w:sz="4"/>
              <w:right w:val="single" w:color="808080" w:sz="4"/>
            </w:tcBorders>
            <w:tcMar>
              <w:top w:type="dxa" w:w="60"/>
              <w:left w:type="dxa" w:w="110"/>
              <w:bottom w:type="dxa" w:w="60"/>
              <w:right w:type="dxa" w:w="110"/>
            </w:tcMar>
          </w:tcPr>
          <w:p>
            <w:pPr>
              <w:spacing w:after="0" w:line="252"/>
            </w:pPr>
            <w:r>
              <w:rPr>
                <w:rFonts w:ascii="Times New Roman" w:cs="Times New Roman" w:eastAsia="Times New Roman" w:hAnsi="Times New Roman"/>
                <w:b w:val="false"/>
                <w:bCs w:val="false"/>
                <w:sz w:val="21"/>
                <w:szCs w:val="21"/>
              </w:rPr>
              <w:t xml:space="preserve">Tax invoices; bank statements; e-way bills / transport documents</w:t>
            </w:r>
          </w:p>
        </w:tc>
      </w:tr>
      <w:tr>
        <w:tc>
          <w:tcPr>
            <w:tcW w:type="dxa" w:w="1500"/>
            <w:tcBorders>
              <w:top w:val="single" w:color="808080" w:sz="4"/>
              <w:left w:val="single" w:color="808080" w:sz="4"/>
              <w:bottom w:val="single" w:color="808080" w:sz="4"/>
              <w:right w:val="single" w:color="808080" w:sz="4"/>
            </w:tcBorders>
            <w:tcMar>
              <w:top w:type="dxa" w:w="60"/>
              <w:left w:type="dxa" w:w="110"/>
              <w:bottom w:type="dxa" w:w="60"/>
              <w:right w:type="dxa" w:w="110"/>
            </w:tcMar>
          </w:tcPr>
          <w:p>
            <w:pPr>
              <w:spacing w:after="0" w:line="252"/>
            </w:pPr>
            <w:r>
              <w:rPr>
                <w:rFonts w:ascii="Times New Roman" w:cs="Times New Roman" w:eastAsia="Times New Roman" w:hAnsi="Times New Roman"/>
                <w:b w:val="false"/>
                <w:bCs w:val="false"/>
                <w:sz w:val="21"/>
                <w:szCs w:val="21"/>
              </w:rPr>
              <w:t xml:space="preserve">[date]</w:t>
            </w:r>
          </w:p>
        </w:tc>
        <w:tc>
          <w:tcPr>
            <w:tcW w:type="dxa" w:w="3200"/>
            <w:tcBorders>
              <w:top w:val="single" w:color="808080" w:sz="4"/>
              <w:left w:val="single" w:color="808080" w:sz="4"/>
              <w:bottom w:val="single" w:color="808080" w:sz="4"/>
              <w:right w:val="single" w:color="808080" w:sz="4"/>
            </w:tcBorders>
            <w:tcMar>
              <w:top w:type="dxa" w:w="60"/>
              <w:left w:type="dxa" w:w="110"/>
              <w:bottom w:type="dxa" w:w="60"/>
              <w:right w:type="dxa" w:w="110"/>
            </w:tcMar>
          </w:tcPr>
          <w:p>
            <w:pPr>
              <w:spacing w:after="0" w:line="252"/>
            </w:pPr>
            <w:r>
              <w:rPr>
                <w:rFonts w:ascii="Times New Roman" w:cs="Times New Roman" w:eastAsia="Times New Roman" w:hAnsi="Times New Roman"/>
                <w:b w:val="false"/>
                <w:bCs w:val="false"/>
                <w:sz w:val="21"/>
                <w:szCs w:val="21"/>
              </w:rPr>
              <w:t xml:space="preserve">Inquiry / DGGI verification of the Supplier</w:t>
            </w:r>
          </w:p>
        </w:tc>
        <w:tc>
          <w:tcPr>
            <w:tcW w:type="dxa" w:w="4326"/>
            <w:tcBorders>
              <w:top w:val="single" w:color="808080" w:sz="4"/>
              <w:left w:val="single" w:color="808080" w:sz="4"/>
              <w:bottom w:val="single" w:color="808080" w:sz="4"/>
              <w:right w:val="single" w:color="808080" w:sz="4"/>
            </w:tcBorders>
            <w:tcMar>
              <w:top w:type="dxa" w:w="60"/>
              <w:left w:type="dxa" w:w="110"/>
              <w:bottom w:type="dxa" w:w="60"/>
              <w:right w:type="dxa" w:w="110"/>
            </w:tcMar>
          </w:tcPr>
          <w:p>
            <w:pPr>
              <w:spacing w:after="0" w:line="252"/>
            </w:pPr>
            <w:r>
              <w:rPr>
                <w:rFonts w:ascii="Times New Roman" w:cs="Times New Roman" w:eastAsia="Times New Roman" w:hAnsi="Times New Roman"/>
                <w:b w:val="false"/>
                <w:bCs w:val="false"/>
                <w:sz w:val="21"/>
                <w:szCs w:val="21"/>
              </w:rPr>
              <w:t xml:space="preserve">Inspection report; statement (not furnished)</w:t>
            </w:r>
          </w:p>
        </w:tc>
      </w:tr>
      <w:tr>
        <w:tc>
          <w:tcPr>
            <w:tcW w:type="dxa" w:w="1500"/>
            <w:tcBorders>
              <w:top w:val="single" w:color="808080" w:sz="4"/>
              <w:left w:val="single" w:color="808080" w:sz="4"/>
              <w:bottom w:val="single" w:color="808080" w:sz="4"/>
              <w:right w:val="single" w:color="808080" w:sz="4"/>
            </w:tcBorders>
            <w:tcMar>
              <w:top w:type="dxa" w:w="60"/>
              <w:left w:type="dxa" w:w="110"/>
              <w:bottom w:type="dxa" w:w="60"/>
              <w:right w:type="dxa" w:w="110"/>
            </w:tcMar>
          </w:tcPr>
          <w:p>
            <w:pPr>
              <w:spacing w:after="0" w:line="252"/>
            </w:pPr>
            <w:r>
              <w:rPr>
                <w:rFonts w:ascii="Times New Roman" w:cs="Times New Roman" w:eastAsia="Times New Roman" w:hAnsi="Times New Roman"/>
                <w:b w:val="false"/>
                <w:bCs w:val="false"/>
                <w:sz w:val="21"/>
                <w:szCs w:val="21"/>
              </w:rPr>
              <w:t xml:space="preserve">[date]</w:t>
            </w:r>
          </w:p>
        </w:tc>
        <w:tc>
          <w:tcPr>
            <w:tcW w:type="dxa" w:w="3200"/>
            <w:tcBorders>
              <w:top w:val="single" w:color="808080" w:sz="4"/>
              <w:left w:val="single" w:color="808080" w:sz="4"/>
              <w:bottom w:val="single" w:color="808080" w:sz="4"/>
              <w:right w:val="single" w:color="808080" w:sz="4"/>
            </w:tcBorders>
            <w:tcMar>
              <w:top w:type="dxa" w:w="60"/>
              <w:left w:type="dxa" w:w="110"/>
              <w:bottom w:type="dxa" w:w="60"/>
              <w:right w:type="dxa" w:w="110"/>
            </w:tcMar>
          </w:tcPr>
          <w:p>
            <w:pPr>
              <w:spacing w:after="0" w:line="252"/>
            </w:pPr>
            <w:r>
              <w:rPr>
                <w:rFonts w:ascii="Times New Roman" w:cs="Times New Roman" w:eastAsia="Times New Roman" w:hAnsi="Times New Roman"/>
                <w:b w:val="false"/>
                <w:bCs w:val="false"/>
                <w:sz w:val="21"/>
                <w:szCs w:val="21"/>
              </w:rPr>
              <w:t xml:space="preserve">Impugned SCN under Section 74 r/w Rule 142</w:t>
            </w:r>
          </w:p>
        </w:tc>
        <w:tc>
          <w:tcPr>
            <w:tcW w:type="dxa" w:w="4326"/>
            <w:tcBorders>
              <w:top w:val="single" w:color="808080" w:sz="4"/>
              <w:left w:val="single" w:color="808080" w:sz="4"/>
              <w:bottom w:val="single" w:color="808080" w:sz="4"/>
              <w:right w:val="single" w:color="808080" w:sz="4"/>
            </w:tcBorders>
            <w:tcMar>
              <w:top w:type="dxa" w:w="60"/>
              <w:left w:type="dxa" w:w="110"/>
              <w:bottom w:type="dxa" w:w="60"/>
              <w:right w:type="dxa" w:w="110"/>
            </w:tcMar>
          </w:tcPr>
          <w:p>
            <w:pPr>
              <w:spacing w:after="0" w:line="252"/>
            </w:pPr>
            <w:r>
              <w:rPr>
                <w:rFonts w:ascii="Times New Roman" w:cs="Times New Roman" w:eastAsia="Times New Roman" w:hAnsi="Times New Roman"/>
                <w:b w:val="false"/>
                <w:bCs w:val="false"/>
                <w:sz w:val="21"/>
                <w:szCs w:val="21"/>
              </w:rPr>
              <w:t xml:space="preserve">Impugned SCN, Letter No. [____] dated [____]</w:t>
            </w:r>
          </w:p>
        </w:tc>
      </w:tr>
      <w:tr>
        <w:tc>
          <w:tcPr>
            <w:tcW w:type="dxa" w:w="1500"/>
            <w:tcBorders>
              <w:top w:val="single" w:color="808080" w:sz="4"/>
              <w:left w:val="single" w:color="808080" w:sz="4"/>
              <w:bottom w:val="single" w:color="808080" w:sz="4"/>
              <w:right w:val="single" w:color="808080" w:sz="4"/>
            </w:tcBorders>
            <w:tcMar>
              <w:top w:type="dxa" w:w="60"/>
              <w:left w:type="dxa" w:w="110"/>
              <w:bottom w:type="dxa" w:w="60"/>
              <w:right w:type="dxa" w:w="110"/>
            </w:tcMar>
          </w:tcPr>
          <w:p>
            <w:pPr>
              <w:spacing w:after="0" w:line="252"/>
            </w:pPr>
            <w:r>
              <w:rPr>
                <w:rFonts w:ascii="Times New Roman" w:cs="Times New Roman" w:eastAsia="Times New Roman" w:hAnsi="Times New Roman"/>
                <w:b w:val="false"/>
                <w:bCs w:val="false"/>
                <w:sz w:val="21"/>
                <w:szCs w:val="21"/>
              </w:rPr>
              <w:t xml:space="preserve">[date]</w:t>
            </w:r>
          </w:p>
        </w:tc>
        <w:tc>
          <w:tcPr>
            <w:tcW w:type="dxa" w:w="3200"/>
            <w:tcBorders>
              <w:top w:val="single" w:color="808080" w:sz="4"/>
              <w:left w:val="single" w:color="808080" w:sz="4"/>
              <w:bottom w:val="single" w:color="808080" w:sz="4"/>
              <w:right w:val="single" w:color="808080" w:sz="4"/>
            </w:tcBorders>
            <w:tcMar>
              <w:top w:type="dxa" w:w="60"/>
              <w:left w:type="dxa" w:w="110"/>
              <w:bottom w:type="dxa" w:w="60"/>
              <w:right w:type="dxa" w:w="110"/>
            </w:tcMar>
          </w:tcPr>
          <w:p>
            <w:pPr>
              <w:spacing w:after="0" w:line="252"/>
            </w:pPr>
            <w:r>
              <w:rPr>
                <w:rFonts w:ascii="Times New Roman" w:cs="Times New Roman" w:eastAsia="Times New Roman" w:hAnsi="Times New Roman"/>
                <w:b w:val="false"/>
                <w:bCs w:val="false"/>
                <w:sz w:val="21"/>
                <w:szCs w:val="21"/>
              </w:rPr>
              <w:t xml:space="preserve">Request for relied-upon documents and cross-examination</w:t>
            </w:r>
          </w:p>
        </w:tc>
        <w:tc>
          <w:tcPr>
            <w:tcW w:type="dxa" w:w="4326"/>
            <w:tcBorders>
              <w:top w:val="single" w:color="808080" w:sz="4"/>
              <w:left w:val="single" w:color="808080" w:sz="4"/>
              <w:bottom w:val="single" w:color="808080" w:sz="4"/>
              <w:right w:val="single" w:color="808080" w:sz="4"/>
            </w:tcBorders>
            <w:tcMar>
              <w:top w:type="dxa" w:w="60"/>
              <w:left w:type="dxa" w:w="110"/>
              <w:bottom w:type="dxa" w:w="60"/>
              <w:right w:type="dxa" w:w="110"/>
            </w:tcMar>
          </w:tcPr>
          <w:p>
            <w:pPr>
              <w:spacing w:after="0" w:line="252"/>
            </w:pPr>
            <w:r>
              <w:rPr>
                <w:rFonts w:ascii="Times New Roman" w:cs="Times New Roman" w:eastAsia="Times New Roman" w:hAnsi="Times New Roman"/>
                <w:b w:val="false"/>
                <w:bCs w:val="false"/>
                <w:sz w:val="21"/>
                <w:szCs w:val="21"/>
              </w:rPr>
              <w:t xml:space="preserve">Company’s letter [reference]</w:t>
            </w:r>
          </w:p>
        </w:tc>
      </w:tr>
      <w:tr>
        <w:tc>
          <w:tcPr>
            <w:tcW w:type="dxa" w:w="1500"/>
            <w:tcBorders>
              <w:top w:val="single" w:color="808080" w:sz="4"/>
              <w:left w:val="single" w:color="808080" w:sz="4"/>
              <w:bottom w:val="single" w:color="808080" w:sz="4"/>
              <w:right w:val="single" w:color="808080" w:sz="4"/>
            </w:tcBorders>
            <w:tcMar>
              <w:top w:type="dxa" w:w="60"/>
              <w:left w:type="dxa" w:w="110"/>
              <w:bottom w:type="dxa" w:w="60"/>
              <w:right w:type="dxa" w:w="110"/>
            </w:tcMar>
          </w:tcPr>
          <w:p>
            <w:pPr>
              <w:spacing w:after="0" w:line="252"/>
            </w:pPr>
            <w:r>
              <w:rPr>
                <w:rFonts w:ascii="Times New Roman" w:cs="Times New Roman" w:eastAsia="Times New Roman" w:hAnsi="Times New Roman"/>
                <w:b w:val="false"/>
                <w:bCs w:val="false"/>
                <w:sz w:val="21"/>
                <w:szCs w:val="21"/>
              </w:rPr>
              <w:t xml:space="preserve">[date]</w:t>
            </w:r>
          </w:p>
        </w:tc>
        <w:tc>
          <w:tcPr>
            <w:tcW w:type="dxa" w:w="3200"/>
            <w:tcBorders>
              <w:top w:val="single" w:color="808080" w:sz="4"/>
              <w:left w:val="single" w:color="808080" w:sz="4"/>
              <w:bottom w:val="single" w:color="808080" w:sz="4"/>
              <w:right w:val="single" w:color="808080" w:sz="4"/>
            </w:tcBorders>
            <w:tcMar>
              <w:top w:type="dxa" w:w="60"/>
              <w:left w:type="dxa" w:w="110"/>
              <w:bottom w:type="dxa" w:w="60"/>
              <w:right w:type="dxa" w:w="110"/>
            </w:tcMar>
          </w:tcPr>
          <w:p>
            <w:pPr>
              <w:spacing w:after="0" w:line="252"/>
            </w:pPr>
            <w:r>
              <w:rPr>
                <w:rFonts w:ascii="Times New Roman" w:cs="Times New Roman" w:eastAsia="Times New Roman" w:hAnsi="Times New Roman"/>
                <w:b w:val="false"/>
                <w:bCs w:val="false"/>
                <w:sz w:val="21"/>
                <w:szCs w:val="21"/>
              </w:rPr>
              <w:t xml:space="preserve">This reply filed</w:t>
            </w:r>
          </w:p>
        </w:tc>
        <w:tc>
          <w:tcPr>
            <w:tcW w:type="dxa" w:w="4326"/>
            <w:tcBorders>
              <w:top w:val="single" w:color="808080" w:sz="4"/>
              <w:left w:val="single" w:color="808080" w:sz="4"/>
              <w:bottom w:val="single" w:color="808080" w:sz="4"/>
              <w:right w:val="single" w:color="808080" w:sz="4"/>
            </w:tcBorders>
            <w:tcMar>
              <w:top w:type="dxa" w:w="60"/>
              <w:left w:type="dxa" w:w="110"/>
              <w:bottom w:type="dxa" w:w="60"/>
              <w:right w:type="dxa" w:w="110"/>
            </w:tcMar>
          </w:tcPr>
          <w:p>
            <w:pPr>
              <w:spacing w:after="0" w:line="252"/>
            </w:pPr>
            <w:r>
              <w:rPr>
                <w:rFonts w:ascii="Times New Roman" w:cs="Times New Roman" w:eastAsia="Times New Roman" w:hAnsi="Times New Roman"/>
                <w:b w:val="false"/>
                <w:bCs w:val="false"/>
                <w:sz w:val="21"/>
                <w:szCs w:val="21"/>
              </w:rPr>
              <w:t xml:space="preserve">Present reply, with documentary annexures</w:t>
            </w:r>
          </w:p>
        </w:tc>
      </w:tr>
    </w:tbl>
    <w:p>
      <w:pPr>
        <w:spacing w:after="120" w:before="120"/>
        <w:jc w:val="both"/>
      </w:pPr>
      <w:r>
        <w:rPr>
          <w:rFonts w:ascii="Times New Roman" w:cs="Times New Roman" w:eastAsia="Times New Roman" w:hAnsi="Times New Roman"/>
          <w:b/>
          <w:bCs/>
          <w:i/>
          <w:iCs/>
          <w:sz w:val="20"/>
          <w:szCs w:val="20"/>
        </w:rPr>
        <w:t xml:space="preserve">Note on origin: </w:t>
      </w:r>
      <w:r>
        <w:rPr>
          <w:rFonts w:ascii="Times New Roman" w:cs="Times New Roman" w:eastAsia="Times New Roman" w:hAnsi="Times New Roman"/>
          <w:i/>
          <w:iCs/>
          <w:sz w:val="20"/>
          <w:szCs w:val="20"/>
        </w:rPr>
        <w:t xml:space="preserve">The source does not disclose whether the proceeding originated in scrutiny / audit or in DGGI / Anti-Evasion investigation. The chronology accommodates either entry point; the grounds do not depend on which applies.</w:t>
      </w:r>
    </w:p>
    <w:p>
      <w:pPr>
        <w:pStyle w:val="Heading1"/>
        <w:spacing w:after="160" w:before="260"/>
      </w:pPr>
      <w:r>
        <w:rPr>
          <w:rFonts w:ascii="Times New Roman" w:cs="Times New Roman" w:eastAsia="Times New Roman" w:hAnsi="Times New Roman"/>
          <w:b/>
          <w:bCs/>
          <w:caps/>
          <w:sz w:val="26"/>
          <w:szCs w:val="26"/>
        </w:rPr>
        <w:t xml:space="preserve">Grounds / Submissions</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Each ground is independently sufficient. The Company, without reservation, DENIES that the transactions were not genuine, DENIES that the credit was wrongly availed, and DENIES that any interest or penalty is exigible.</w:t>
      </w:r>
    </w:p>
    <w:p>
      <w:pPr>
        <w:pStyle w:val="Heading2"/>
        <w:spacing w:after="140" w:before="200"/>
      </w:pPr>
      <w:r>
        <w:rPr>
          <w:rFonts w:ascii="Times New Roman" w:cs="Times New Roman" w:eastAsia="Times New Roman" w:hAnsi="Times New Roman"/>
          <w:b/>
          <w:bCs/>
          <w:sz w:val="24"/>
          <w:szCs w:val="24"/>
        </w:rPr>
        <w:t xml:space="preserve">Ground 1: Supply of the relied-upon documents is a condition precedent; their non-supply vitiates the proceeding — Section 75(4)</w:t>
      </w:r>
    </w:p>
    <w:p>
      <w:pPr>
        <w:spacing w:after="160" w:line="276"/>
        <w:jc w:val="both"/>
      </w:pPr>
      <w:r>
        <w:rPr>
          <w:rFonts w:ascii="Times New Roman" w:cs="Times New Roman" w:eastAsia="Times New Roman" w:hAnsi="Times New Roman"/>
          <w:b/>
          <w:bCs/>
          <w:sz w:val="24"/>
          <w:szCs w:val="24"/>
        </w:rPr>
        <w:t xml:space="preserve">(a) The defect.</w:t>
      </w:r>
      <w:r>
        <w:rPr>
          <w:rFonts w:ascii="Times New Roman" w:cs="Times New Roman" w:eastAsia="Times New Roman" w:hAnsi="Times New Roman"/>
          <w:sz w:val="24"/>
          <w:szCs w:val="24"/>
        </w:rPr>
        <w:t xml:space="preserve"> The SCN rests on an inspection / verification report, a statement attributed to the Supplier, and a DGGI / Anti-Evasion communication, none of which has been supplied to the Company. An adverse order cannot rest on material withheld from the person to be affected.</w:t>
      </w:r>
    </w:p>
    <w:p>
      <w:pPr>
        <w:spacing w:after="160" w:line="276"/>
        <w:jc w:val="both"/>
      </w:pPr>
      <w:r>
        <w:rPr>
          <w:rFonts w:ascii="Times New Roman" w:cs="Times New Roman" w:eastAsia="Times New Roman" w:hAnsi="Times New Roman"/>
          <w:b/>
          <w:bCs/>
          <w:sz w:val="24"/>
          <w:szCs w:val="24"/>
        </w:rPr>
        <w:t xml:space="preserve">(b) The law.</w:t>
      </w:r>
      <w:r>
        <w:rPr>
          <w:rFonts w:ascii="Times New Roman" w:cs="Times New Roman" w:eastAsia="Times New Roman" w:hAnsi="Times New Roman"/>
          <w:sz w:val="24"/>
          <w:szCs w:val="24"/>
        </w:rPr>
        <w:t xml:space="preserve"> Section 75(4) of the Act requires that an opportunity of hearing be granted where any adverse decision is contemplated, which necessarily includes access to the material relied upon. The Company has, by separate letter, called for copies of all relied-upon documents; until they are furnished the Company cannot meaningfully reply and the proceeding cannot lawfully advance.</w:t>
      </w:r>
    </w:p>
    <w:p>
      <w:pPr>
        <w:spacing w:after="160" w:line="276"/>
        <w:jc w:val="both"/>
      </w:pPr>
      <w:r>
        <w:rPr>
          <w:rFonts w:ascii="Times New Roman" w:cs="Times New Roman" w:eastAsia="Times New Roman" w:hAnsi="Times New Roman"/>
          <w:b/>
          <w:bCs/>
          <w:sz w:val="24"/>
          <w:szCs w:val="24"/>
        </w:rPr>
        <w:t xml:space="preserve">(c) Relief sought.</w:t>
      </w:r>
      <w:r>
        <w:rPr>
          <w:rFonts w:ascii="Times New Roman" w:cs="Times New Roman" w:eastAsia="Times New Roman" w:hAnsi="Times New Roman"/>
          <w:sz w:val="24"/>
          <w:szCs w:val="24"/>
        </w:rPr>
        <w:t xml:space="preserve"> Furnish all relied-upon documents and grant a fresh, adequate opportunity to reply; failing which, drop the SCN.</w:t>
      </w:r>
    </w:p>
    <w:p>
      <w:pPr>
        <w:pStyle w:val="Heading2"/>
        <w:spacing w:after="140" w:before="200"/>
      </w:pPr>
      <w:r>
        <w:rPr>
          <w:rFonts w:ascii="Times New Roman" w:cs="Times New Roman" w:eastAsia="Times New Roman" w:hAnsi="Times New Roman"/>
          <w:b/>
          <w:bCs/>
          <w:sz w:val="24"/>
          <w:szCs w:val="24"/>
        </w:rPr>
        <w:t xml:space="preserve">Ground 2: A third party’s statement has no evidentiary value without cross-examination — Andaman Timber</w:t>
      </w:r>
    </w:p>
    <w:p>
      <w:pPr>
        <w:spacing w:after="160" w:line="276"/>
        <w:jc w:val="both"/>
      </w:pPr>
      <w:r>
        <w:rPr>
          <w:rFonts w:ascii="Times New Roman" w:cs="Times New Roman" w:eastAsia="Times New Roman" w:hAnsi="Times New Roman"/>
          <w:b/>
          <w:bCs/>
          <w:sz w:val="24"/>
          <w:szCs w:val="24"/>
        </w:rPr>
        <w:t xml:space="preserve">(a) The allegation.</w:t>
      </w:r>
      <w:r>
        <w:rPr>
          <w:rFonts w:ascii="Times New Roman" w:cs="Times New Roman" w:eastAsia="Times New Roman" w:hAnsi="Times New Roman"/>
          <w:sz w:val="24"/>
          <w:szCs w:val="24"/>
        </w:rPr>
        <w:t xml:space="preserve"> The case turns substantially on a statement attributed to the Supplier that it issued invoices without supplying goods.</w:t>
      </w:r>
    </w:p>
    <w:p>
      <w:pPr>
        <w:spacing w:after="160" w:line="276"/>
        <w:jc w:val="both"/>
      </w:pPr>
      <w:r>
        <w:rPr>
          <w:rFonts w:ascii="Times New Roman" w:cs="Times New Roman" w:eastAsia="Times New Roman" w:hAnsi="Times New Roman"/>
          <w:b/>
          <w:bCs/>
          <w:sz w:val="24"/>
          <w:szCs w:val="24"/>
        </w:rPr>
        <w:t xml:space="preserve">(b) The law.</w:t>
      </w:r>
      <w:r>
        <w:rPr>
          <w:rFonts w:ascii="Times New Roman" w:cs="Times New Roman" w:eastAsia="Times New Roman" w:hAnsi="Times New Roman"/>
          <w:sz w:val="24"/>
          <w:szCs w:val="24"/>
        </w:rPr>
        <w:t xml:space="preserve"> A statement recorded behind the back of the Company, not tested in cross-examination, has no evidentiary value against it. Reliance is placed on </w:t>
      </w:r>
    </w:p>
    <w:p>
      <w:pPr>
        <w:spacing w:after="160" w:line="276"/>
        <w:jc w:val="both"/>
      </w:pPr>
      <w:r>
        <w:rPr>
          <w:rFonts w:ascii="Times New Roman" w:cs="Times New Roman" w:eastAsia="Times New Roman" w:hAnsi="Times New Roman"/>
          <w:b/>
          <w:bCs/>
          <w:sz w:val="24"/>
          <w:szCs w:val="24"/>
        </w:rPr>
        <w:t xml:space="preserve">(c) Relief sought.</w:t>
      </w:r>
      <w:r>
        <w:rPr>
          <w:rFonts w:ascii="Times New Roman" w:cs="Times New Roman" w:eastAsia="Times New Roman" w:hAnsi="Times New Roman"/>
          <w:sz w:val="24"/>
          <w:szCs w:val="24"/>
        </w:rPr>
        <w:t xml:space="preserve"> Discard the untested statement; in the alternative, permit cross-examination before any reliance is placed on it.</w:t>
      </w:r>
    </w:p>
    <w:p>
      <w:pPr>
        <w:pStyle w:val="Heading2"/>
        <w:spacing w:after="140" w:before="200"/>
      </w:pPr>
      <w:r>
        <w:rPr>
          <w:rFonts w:ascii="Times New Roman" w:cs="Times New Roman" w:eastAsia="Times New Roman" w:hAnsi="Times New Roman"/>
          <w:b/>
          <w:bCs/>
          <w:sz w:val="24"/>
          <w:szCs w:val="24"/>
        </w:rPr>
        <w:t xml:space="preserve">Ground 3: A bona fide recipient who satisfies Section 16(2) cannot be denied credit for the supplier’s default</w:t>
      </w:r>
    </w:p>
    <w:p>
      <w:pPr>
        <w:spacing w:after="160" w:line="276"/>
        <w:jc w:val="both"/>
      </w:pPr>
      <w:r>
        <w:rPr>
          <w:rFonts w:ascii="Times New Roman" w:cs="Times New Roman" w:eastAsia="Times New Roman" w:hAnsi="Times New Roman"/>
          <w:b/>
          <w:bCs/>
          <w:sz w:val="24"/>
          <w:szCs w:val="24"/>
        </w:rPr>
        <w:t xml:space="preserve">(a) The principle.</w:t>
      </w:r>
      <w:r>
        <w:rPr>
          <w:rFonts w:ascii="Times New Roman" w:cs="Times New Roman" w:eastAsia="Times New Roman" w:hAnsi="Times New Roman"/>
          <w:sz w:val="24"/>
          <w:szCs w:val="24"/>
        </w:rPr>
        <w:t xml:space="preserve"> Where the recipient holds a valid tax invoice, has received the goods, has paid the supplier including tax, and the supplier was a registered person at the time of the transaction, the recipient is a bona fide purchaser entitled to credit. Subsequent discovery of the supplier’s non-existence or default does not, without evidence of the recipient’s complicity, defeat the recipient’s credit.</w:t>
      </w:r>
    </w:p>
    <w:p>
      <w:pPr>
        <w:spacing w:after="160" w:line="276"/>
        <w:jc w:val="both"/>
      </w:pPr>
      <w:r>
        <w:rPr>
          <w:rFonts w:ascii="Times New Roman" w:cs="Times New Roman" w:eastAsia="Times New Roman" w:hAnsi="Times New Roman"/>
          <w:b/>
          <w:bCs/>
          <w:sz w:val="24"/>
          <w:szCs w:val="24"/>
        </w:rPr>
        <w:t xml:space="preserve">(b) The authorities.</w:t>
      </w:r>
      <w:r>
        <w:rPr>
          <w:rFonts w:ascii="Times New Roman" w:cs="Times New Roman" w:eastAsia="Times New Roman" w:hAnsi="Times New Roman"/>
          <w:sz w:val="24"/>
          <w:szCs w:val="24"/>
        </w:rPr>
        <w:t xml:space="preserve"> Reliance is placed on the consistent line of High Court authority protecting the bona fide recipient: </w:t>
      </w:r>
    </w:p>
    <w:p>
      <w:pPr>
        <w:spacing w:after="160" w:line="276"/>
        <w:jc w:val="both"/>
      </w:pPr>
      <w:r>
        <w:rPr>
          <w:rFonts w:ascii="Times New Roman" w:cs="Times New Roman" w:eastAsia="Times New Roman" w:hAnsi="Times New Roman"/>
          <w:b/>
          <w:bCs/>
          <w:sz w:val="24"/>
          <w:szCs w:val="24"/>
        </w:rPr>
        <w:t xml:space="preserve">(c) Adverse authority, addressed.</w:t>
      </w:r>
      <w:r>
        <w:rPr>
          <w:rFonts w:ascii="Times New Roman" w:cs="Times New Roman" w:eastAsia="Times New Roman" w:hAnsi="Times New Roman"/>
          <w:sz w:val="24"/>
          <w:szCs w:val="24"/>
        </w:rPr>
        <w:t xml:space="preserve"> The contrary line — </w:t>
      </w:r>
    </w:p>
    <w:p>
      <w:pPr>
        <w:spacing w:after="160" w:line="276"/>
        <w:jc w:val="both"/>
      </w:pPr>
      <w:r>
        <w:rPr>
          <w:rFonts w:ascii="Times New Roman" w:cs="Times New Roman" w:eastAsia="Times New Roman" w:hAnsi="Times New Roman"/>
          <w:b/>
          <w:bCs/>
          <w:sz w:val="24"/>
          <w:szCs w:val="24"/>
        </w:rPr>
        <w:t xml:space="preserve">(d) Application and relief.</w:t>
      </w:r>
      <w:r>
        <w:rPr>
          <w:rFonts w:ascii="Times New Roman" w:cs="Times New Roman" w:eastAsia="Times New Roman" w:hAnsi="Times New Roman"/>
          <w:sz w:val="24"/>
          <w:szCs w:val="24"/>
        </w:rPr>
        <w:t xml:space="preserve"> Every fact attracting protection is present. Hold the Company a bona fide recipient and uphold the credit.</w:t>
      </w:r>
    </w:p>
    <w:p>
      <w:pPr>
        <w:pStyle w:val="Heading2"/>
        <w:spacing w:after="140" w:before="200"/>
      </w:pPr>
      <w:r>
        <w:rPr>
          <w:rFonts w:ascii="Times New Roman" w:cs="Times New Roman" w:eastAsia="Times New Roman" w:hAnsi="Times New Roman"/>
          <w:b/>
          <w:bCs/>
          <w:sz w:val="24"/>
          <w:szCs w:val="24"/>
        </w:rPr>
        <w:t xml:space="preserve">Ground 4: Recovery, if any, must first be made from the defaulting supplier</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Even assuming tax remained unpaid at the Supplier’s end (which is denied), the scheme of the Act does not permit the Department to bypass the defaulting Supplier and proceed against a paying recipient. The administrative position was recorded in the Press Release of 4 May 2018 (27th GST Council meeting) [VERIFY] — recovery from the seller on default, with reversal from the buyer reserved for exceptional situations. The Company has paid its Supplier; the Department’s remedy lies against the Supplier.</w:t>
      </w:r>
    </w:p>
    <w:p>
      <w:pPr>
        <w:pStyle w:val="Heading2"/>
        <w:spacing w:after="140" w:before="200"/>
      </w:pPr>
      <w:r>
        <w:rPr>
          <w:rFonts w:ascii="Times New Roman" w:cs="Times New Roman" w:eastAsia="Times New Roman" w:hAnsi="Times New Roman"/>
          <w:b/>
          <w:bCs/>
          <w:sz w:val="24"/>
          <w:szCs w:val="24"/>
        </w:rPr>
        <w:t xml:space="preserve">Ground 5: The invocation of Section 74 is without jurisdiction — no fraud, wilful misstatement or suppression by the Company</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Section 74 is conditioned on fraud, wilful misstatement, or suppression of facts to evade tax </w:t>
      </w:r>
      <w:r>
        <w:rPr>
          <w:rFonts w:ascii="Times New Roman" w:cs="Times New Roman" w:eastAsia="Times New Roman" w:hAnsi="Times New Roman"/>
          <w:b/>
          <w:bCs/>
          <w:i w:val="false"/>
          <w:iCs w:val="false"/>
          <w:caps w:val="false"/>
          <w:sz w:val="24"/>
          <w:szCs w:val="24"/>
        </w:rPr>
        <w:t xml:space="preserve">on the part of the Company</w:t>
      </w:r>
      <w:r>
        <w:rPr>
          <w:rFonts w:ascii="Times New Roman" w:cs="Times New Roman" w:eastAsia="Times New Roman" w:hAnsi="Times New Roman"/>
          <w:b w:val="false"/>
          <w:bCs w:val="false"/>
          <w:i w:val="false"/>
          <w:iCs w:val="false"/>
          <w:caps w:val="false"/>
          <w:sz w:val="24"/>
          <w:szCs w:val="24"/>
        </w:rPr>
        <w:t xml:space="preserve">. The Company disclosed the credit in its return, transacted through banking channels, and holds the supporting documents. No mental element directed at evasion is pleaded against the Company, and none can be inferred from a supplier’s alleged conduct. The notice under Section 74 is therefore without jurisdiction as against the Company, and the elevated penalty and extended period are unavailable; at the highest the matter could fall under Section 73, which is denied.</w:t>
      </w:r>
    </w:p>
    <w:p>
      <w:pPr>
        <w:pStyle w:val="Heading2"/>
        <w:spacing w:after="140" w:before="200"/>
      </w:pPr>
      <w:r>
        <w:rPr>
          <w:rFonts w:ascii="Times New Roman" w:cs="Times New Roman" w:eastAsia="Times New Roman" w:hAnsi="Times New Roman"/>
          <w:b/>
          <w:bCs/>
          <w:sz w:val="24"/>
          <w:szCs w:val="24"/>
        </w:rPr>
        <w:t xml:space="preserve">Ground 6 (without prejudice): Interest and penalty are consequential and otherwise unsustainable</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Without prejudice, interest under Section 50 and penalty under Section 122 / 74 are consequential upon the substantive demand and fall with it. To the extent any credit was not utilised, no interest arises under Section 50(3) read with Rule 88B(3) [VERIFY]; and penalty cannot attach absent any intent to evade on the Company’s part.</w:t>
      </w:r>
    </w:p>
    <w:p>
      <w:pPr>
        <w:pStyle w:val="Heading1"/>
        <w:spacing w:after="160" w:before="260"/>
      </w:pPr>
      <w:r>
        <w:rPr>
          <w:rFonts w:ascii="Times New Roman" w:cs="Times New Roman" w:eastAsia="Times New Roman" w:hAnsi="Times New Roman"/>
          <w:b/>
          <w:bCs/>
          <w:caps/>
          <w:sz w:val="26"/>
          <w:szCs w:val="26"/>
        </w:rPr>
        <w:t xml:space="preserve">Prayer</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The Company most respectfully prays that the Adjudicating Authority be pleased to:</w:t>
      </w:r>
    </w:p>
    <w:p>
      <w:pPr>
        <w:pStyle w:val="ListParagraph"/>
        <w:numPr>
          <w:ilvl w:val="0"/>
          <w:numId w:val="3"/>
        </w:numPr>
        <w:spacing w:after="140" w:line="276"/>
        <w:jc w:val="both"/>
      </w:pPr>
      <w:r>
        <w:rPr>
          <w:rFonts w:ascii="Times New Roman" w:cs="Times New Roman" w:eastAsia="Times New Roman" w:hAnsi="Times New Roman"/>
          <w:b w:val="false"/>
          <w:bCs w:val="false"/>
          <w:i w:val="false"/>
          <w:iCs w:val="false"/>
          <w:caps w:val="false"/>
          <w:sz w:val="24"/>
          <w:szCs w:val="24"/>
        </w:rPr>
        <w:t xml:space="preserve">FURNISH all relied-upon documents — the verification / inspection report, the statement attributed to the Supplier, and the DGGI / Anti-Evasion communication — and grant a fresh opportunity to reply;</w:t>
      </w:r>
    </w:p>
    <w:p>
      <w:pPr>
        <w:pStyle w:val="ListParagraph"/>
        <w:numPr>
          <w:ilvl w:val="0"/>
          <w:numId w:val="3"/>
        </w:numPr>
        <w:spacing w:after="140" w:line="276"/>
        <w:jc w:val="both"/>
      </w:pPr>
      <w:r>
        <w:rPr>
          <w:rFonts w:ascii="Times New Roman" w:cs="Times New Roman" w:eastAsia="Times New Roman" w:hAnsi="Times New Roman"/>
          <w:b w:val="false"/>
          <w:bCs w:val="false"/>
          <w:i w:val="false"/>
          <w:iCs w:val="false"/>
          <w:caps w:val="false"/>
          <w:sz w:val="24"/>
          <w:szCs w:val="24"/>
        </w:rPr>
        <w:t xml:space="preserve">PERMIT cross-examination of the makers of the statements and reports relied upon, and discard any statement not so tested;</w:t>
      </w:r>
    </w:p>
    <w:p>
      <w:pPr>
        <w:pStyle w:val="ListParagraph"/>
        <w:numPr>
          <w:ilvl w:val="0"/>
          <w:numId w:val="3"/>
        </w:numPr>
        <w:spacing w:after="140" w:line="276"/>
        <w:jc w:val="both"/>
      </w:pPr>
      <w:r>
        <w:rPr>
          <w:rFonts w:ascii="Times New Roman" w:cs="Times New Roman" w:eastAsia="Times New Roman" w:hAnsi="Times New Roman"/>
          <w:b w:val="false"/>
          <w:bCs w:val="false"/>
          <w:i w:val="false"/>
          <w:iCs w:val="false"/>
          <w:caps w:val="false"/>
          <w:sz w:val="24"/>
          <w:szCs w:val="24"/>
        </w:rPr>
        <w:t xml:space="preserve">HOLD the Company a bona fide recipient satisfying Section 16(2) and uphold the input tax credit;</w:t>
      </w:r>
    </w:p>
    <w:p>
      <w:pPr>
        <w:pStyle w:val="ListParagraph"/>
        <w:numPr>
          <w:ilvl w:val="0"/>
          <w:numId w:val="3"/>
        </w:numPr>
        <w:spacing w:after="140" w:line="276"/>
        <w:jc w:val="both"/>
      </w:pPr>
      <w:r>
        <w:rPr>
          <w:rFonts w:ascii="Times New Roman" w:cs="Times New Roman" w:eastAsia="Times New Roman" w:hAnsi="Times New Roman"/>
          <w:b w:val="false"/>
          <w:bCs w:val="false"/>
          <w:i w:val="false"/>
          <w:iCs w:val="false"/>
          <w:caps w:val="false"/>
          <w:sz w:val="24"/>
          <w:szCs w:val="24"/>
        </w:rPr>
        <w:t xml:space="preserve">HOLD that recovery, if any, must first be made from the defaulting Supplier;</w:t>
      </w:r>
    </w:p>
    <w:p>
      <w:pPr>
        <w:pStyle w:val="ListParagraph"/>
        <w:numPr>
          <w:ilvl w:val="0"/>
          <w:numId w:val="3"/>
        </w:numPr>
        <w:spacing w:after="140" w:line="276"/>
        <w:jc w:val="both"/>
      </w:pPr>
      <w:r>
        <w:rPr>
          <w:rFonts w:ascii="Times New Roman" w:cs="Times New Roman" w:eastAsia="Times New Roman" w:hAnsi="Times New Roman"/>
          <w:b w:val="false"/>
          <w:bCs w:val="false"/>
          <w:i w:val="false"/>
          <w:iCs w:val="false"/>
          <w:caps w:val="false"/>
          <w:sz w:val="24"/>
          <w:szCs w:val="24"/>
        </w:rPr>
        <w:t xml:space="preserve">HOLD that Section 74 is not attracted as against the Company, no fraud, wilful misstatement or suppression being present;</w:t>
      </w:r>
    </w:p>
    <w:p>
      <w:pPr>
        <w:pStyle w:val="ListParagraph"/>
        <w:numPr>
          <w:ilvl w:val="0"/>
          <w:numId w:val="3"/>
        </w:numPr>
        <w:spacing w:after="140" w:line="276"/>
        <w:jc w:val="both"/>
      </w:pPr>
      <w:r>
        <w:rPr>
          <w:rFonts w:ascii="Times New Roman" w:cs="Times New Roman" w:eastAsia="Times New Roman" w:hAnsi="Times New Roman"/>
          <w:b w:val="false"/>
          <w:bCs w:val="false"/>
          <w:i w:val="false"/>
          <w:iCs w:val="false"/>
          <w:caps w:val="false"/>
          <w:sz w:val="24"/>
          <w:szCs w:val="24"/>
        </w:rPr>
        <w:t xml:space="preserve">DROP the proposed reversal, interest and penalty;</w:t>
      </w:r>
    </w:p>
    <w:p>
      <w:pPr>
        <w:pStyle w:val="ListParagraph"/>
        <w:numPr>
          <w:ilvl w:val="0"/>
          <w:numId w:val="3"/>
        </w:numPr>
        <w:spacing w:after="140" w:line="276"/>
        <w:jc w:val="both"/>
      </w:pPr>
      <w:r>
        <w:rPr>
          <w:rFonts w:ascii="Times New Roman" w:cs="Times New Roman" w:eastAsia="Times New Roman" w:hAnsi="Times New Roman"/>
          <w:b w:val="false"/>
          <w:bCs w:val="false"/>
          <w:i w:val="false"/>
          <w:iCs w:val="false"/>
          <w:caps w:val="false"/>
          <w:sz w:val="24"/>
          <w:szCs w:val="24"/>
        </w:rPr>
        <w:t xml:space="preserve">GRANT a personal hearing through the Authorised Representative before any adverse order; and</w:t>
      </w:r>
    </w:p>
    <w:p>
      <w:pPr>
        <w:pStyle w:val="ListParagraph"/>
        <w:numPr>
          <w:ilvl w:val="0"/>
          <w:numId w:val="3"/>
        </w:numPr>
        <w:spacing w:after="140" w:line="276"/>
        <w:jc w:val="both"/>
      </w:pPr>
      <w:r>
        <w:rPr>
          <w:rFonts w:ascii="Times New Roman" w:cs="Times New Roman" w:eastAsia="Times New Roman" w:hAnsi="Times New Roman"/>
          <w:b w:val="false"/>
          <w:bCs w:val="false"/>
          <w:i w:val="false"/>
          <w:iCs w:val="false"/>
          <w:caps w:val="false"/>
          <w:sz w:val="24"/>
          <w:szCs w:val="24"/>
        </w:rPr>
        <w:t xml:space="preserve">PASS such further or other order as may be just and proper.</w:t>
      </w:r>
    </w:p>
    <w:p>
      <w:pPr>
        <w:spacing w:after="160" w:before="80" w:line="276"/>
        <w:jc w:val="both"/>
      </w:pPr>
      <w:r>
        <w:rPr>
          <w:rFonts w:ascii="Times New Roman" w:cs="Times New Roman" w:eastAsia="Times New Roman" w:hAnsi="Times New Roman"/>
          <w:b w:val="false"/>
          <w:bCs w:val="false"/>
          <w:i w:val="false"/>
          <w:iCs w:val="false"/>
          <w:caps w:val="false"/>
          <w:sz w:val="24"/>
          <w:szCs w:val="24"/>
        </w:rPr>
        <w:t xml:space="preserve">The Company reserves the right to file additional submissions, to produce further documents, to inspect and take copies of the relied-upon documents, to cross-examine, and to present oral arguments at the personal hearing. Nothing herein shall be construed as an admission of any kind.</w:t>
      </w:r>
    </w:p>
    <w:p>
      <w:pPr>
        <w:pStyle w:val="Heading1"/>
        <w:spacing w:after="160" w:before="260"/>
      </w:pPr>
      <w:r>
        <w:rPr>
          <w:rFonts w:ascii="Times New Roman" w:cs="Times New Roman" w:eastAsia="Times New Roman" w:hAnsi="Times New Roman"/>
          <w:b/>
          <w:bCs/>
          <w:caps/>
          <w:sz w:val="26"/>
          <w:szCs w:val="26"/>
        </w:rPr>
        <w:t xml:space="preserve">Schedule of Authorities and Provisions Relied Upon</w:t>
      </w:r>
    </w:p>
    <w:p>
      <w:pPr>
        <w:spacing w:after="160" w:line="276"/>
        <w:jc w:val="both"/>
      </w:pPr>
      <w:r>
        <w:rPr>
          <w:rFonts w:ascii="Times New Roman" w:cs="Times New Roman" w:eastAsia="Times New Roman" w:hAnsi="Times New Roman"/>
          <w:b w:val="false"/>
          <w:bCs w:val="false"/>
          <w:i/>
          <w:iCs/>
          <w:caps w:val="false"/>
          <w:sz w:val="24"/>
          <w:szCs w:val="24"/>
        </w:rPr>
        <w:t xml:space="preserve">Case authorities and press releases are marked [VERIFY] for a final check before filing.</w:t>
      </w:r>
    </w:p>
    <w:p>
      <w:pPr>
        <w:spacing w:after="160" w:line="276"/>
        <w:jc w:val="both"/>
      </w:pPr>
      <w:r>
        <w:rPr>
          <w:rFonts w:ascii="Times New Roman" w:cs="Times New Roman" w:eastAsia="Times New Roman" w:hAnsi="Times New Roman"/>
          <w:b/>
          <w:bCs/>
          <w:i w:val="false"/>
          <w:iCs w:val="false"/>
          <w:caps w:val="false"/>
          <w:sz w:val="24"/>
          <w:szCs w:val="24"/>
        </w:rPr>
        <w:t xml:space="preserve">A. Natural justice — relied-upon documents and cross-examination</w:t>
      </w:r>
    </w:p>
    <w:p>
      <w:pPr>
        <w:pStyle w:val="ListParagraph"/>
        <w:numPr>
          <w:ilvl w:val="0"/>
          <w:numId w:val="4"/>
        </w:numPr>
        <w:spacing w:after="140" w:line="276"/>
        <w:jc w:val="both"/>
      </w:pPr>
      <w:r>
        <w:rPr>
          <w:rFonts w:ascii="Times New Roman" w:cs="Times New Roman" w:eastAsia="Times New Roman" w:hAnsi="Times New Roman"/>
          <w:b w:val="false"/>
          <w:bCs w:val="false"/>
          <w:i w:val="false"/>
          <w:iCs w:val="false"/>
          <w:caps w:val="false"/>
          <w:sz w:val="24"/>
          <w:szCs w:val="24"/>
        </w:rPr>
        <w:t xml:space="preserve">Section 75(4) of the CGST Act, 2017 (opportunity of hearing).</w:t>
      </w:r>
    </w:p>
    <w:p>
      <w:pPr>
        <w:pStyle w:val="ListParagraph"/>
        <w:numPr>
          <w:ilvl w:val="0"/>
          <w:numId w:val="4"/>
        </w:numPr>
        <w:spacing w:after="140" w:line="276"/>
        <w:jc w:val="both"/>
      </w:pPr>
      <w:r>
        <w:rPr>
          <w:rFonts w:ascii="Times New Roman" w:cs="Times New Roman" w:eastAsia="Times New Roman" w:hAnsi="Times New Roman"/>
          <w:b w:val="false"/>
          <w:bCs w:val="false"/>
          <w:i w:val="false"/>
          <w:iCs w:val="false"/>
          <w:caps w:val="false"/>
          <w:sz w:val="24"/>
          <w:szCs w:val="24"/>
        </w:rPr>
        <w:t xml:space="preserve">Andaman Timber Industries v. CCE, Supreme Court, 2015 (324) ELT 641 (SC). [VERIFY]</w:t>
      </w:r>
    </w:p>
    <w:p>
      <w:pPr>
        <w:spacing w:after="160" w:line="276"/>
        <w:jc w:val="both"/>
      </w:pPr>
      <w:r>
        <w:rPr>
          <w:rFonts w:ascii="Times New Roman" w:cs="Times New Roman" w:eastAsia="Times New Roman" w:hAnsi="Times New Roman"/>
          <w:b/>
          <w:bCs/>
          <w:i w:val="false"/>
          <w:iCs w:val="false"/>
          <w:caps w:val="false"/>
          <w:sz w:val="24"/>
          <w:szCs w:val="24"/>
        </w:rPr>
        <w:t xml:space="preserve">B. Bona fide recipient / recovery from supplier first</w:t>
      </w:r>
    </w:p>
    <w:p>
      <w:pPr>
        <w:pStyle w:val="ListParagraph"/>
        <w:numPr>
          <w:ilvl w:val="0"/>
          <w:numId w:val="4"/>
        </w:numPr>
        <w:spacing w:after="140" w:line="276"/>
        <w:jc w:val="both"/>
      </w:pPr>
      <w:r>
        <w:rPr>
          <w:rFonts w:ascii="Times New Roman" w:cs="Times New Roman" w:eastAsia="Times New Roman" w:hAnsi="Times New Roman"/>
          <w:b w:val="false"/>
          <w:bCs w:val="false"/>
          <w:i w:val="false"/>
          <w:iCs w:val="false"/>
          <w:caps w:val="false"/>
          <w:sz w:val="24"/>
          <w:szCs w:val="24"/>
        </w:rPr>
        <w:t xml:space="preserve">LGW Industries Ltd. v. Union of India, Calcutta HC, WPA 23512 of 2019, 13.12.2021. [VERIFY]</w:t>
      </w:r>
    </w:p>
    <w:p>
      <w:pPr>
        <w:pStyle w:val="ListParagraph"/>
        <w:numPr>
          <w:ilvl w:val="0"/>
          <w:numId w:val="4"/>
        </w:numPr>
        <w:spacing w:after="140" w:line="276"/>
        <w:jc w:val="both"/>
      </w:pPr>
      <w:r>
        <w:rPr>
          <w:rFonts w:ascii="Times New Roman" w:cs="Times New Roman" w:eastAsia="Times New Roman" w:hAnsi="Times New Roman"/>
          <w:b w:val="false"/>
          <w:bCs w:val="false"/>
          <w:i w:val="false"/>
          <w:iCs w:val="false"/>
          <w:caps w:val="false"/>
          <w:sz w:val="24"/>
          <w:szCs w:val="24"/>
        </w:rPr>
        <w:t xml:space="preserve">Sanchita Kundu v. Assistant Commissioner of State Tax, Calcutta HC, WPA 7231 of 2022, 05.05.2022. [VERIFY]</w:t>
      </w:r>
    </w:p>
    <w:p>
      <w:pPr>
        <w:pStyle w:val="ListParagraph"/>
        <w:numPr>
          <w:ilvl w:val="0"/>
          <w:numId w:val="4"/>
        </w:numPr>
        <w:spacing w:after="140" w:line="276"/>
        <w:jc w:val="both"/>
      </w:pPr>
      <w:r>
        <w:rPr>
          <w:rFonts w:ascii="Times New Roman" w:cs="Times New Roman" w:eastAsia="Times New Roman" w:hAnsi="Times New Roman"/>
          <w:b w:val="false"/>
          <w:bCs w:val="false"/>
          <w:i w:val="false"/>
          <w:iCs w:val="false"/>
          <w:caps w:val="false"/>
          <w:sz w:val="24"/>
          <w:szCs w:val="24"/>
        </w:rPr>
        <w:t xml:space="preserve">Gargo Traders v. Joint Commissioner, Commercial Taxes (State Tax), Calcutta HC, WPA 1009 of 2022, 12.06.2023. [VERIFY]</w:t>
      </w:r>
    </w:p>
    <w:p>
      <w:pPr>
        <w:pStyle w:val="ListParagraph"/>
        <w:numPr>
          <w:ilvl w:val="0"/>
          <w:numId w:val="4"/>
        </w:numPr>
        <w:spacing w:after="140" w:line="276"/>
        <w:jc w:val="both"/>
      </w:pPr>
      <w:r>
        <w:rPr>
          <w:rFonts w:ascii="Times New Roman" w:cs="Times New Roman" w:eastAsia="Times New Roman" w:hAnsi="Times New Roman"/>
          <w:b w:val="false"/>
          <w:bCs w:val="false"/>
          <w:i w:val="false"/>
          <w:iCs w:val="false"/>
          <w:caps w:val="false"/>
          <w:sz w:val="24"/>
          <w:szCs w:val="24"/>
        </w:rPr>
        <w:t xml:space="preserve">D.Y. Beathel Enterprises v. State Tax Officer, Madras HC, W.P.(MD) Nos. 2127 of 2021 (batch), 24.02.2021. [VERIFY]</w:t>
      </w:r>
    </w:p>
    <w:p>
      <w:pPr>
        <w:pStyle w:val="ListParagraph"/>
        <w:numPr>
          <w:ilvl w:val="0"/>
          <w:numId w:val="4"/>
        </w:numPr>
        <w:spacing w:after="140" w:line="276"/>
        <w:jc w:val="both"/>
      </w:pPr>
      <w:r>
        <w:rPr>
          <w:rFonts w:ascii="Times New Roman" w:cs="Times New Roman" w:eastAsia="Times New Roman" w:hAnsi="Times New Roman"/>
          <w:b w:val="false"/>
          <w:bCs w:val="false"/>
          <w:i w:val="false"/>
          <w:iCs w:val="false"/>
          <w:caps w:val="false"/>
          <w:sz w:val="24"/>
          <w:szCs w:val="24"/>
        </w:rPr>
        <w:t xml:space="preserve">Press Release dated 04.05.2018 (27th GST Council meeting). [VERIFY]</w:t>
      </w:r>
    </w:p>
    <w:p>
      <w:pPr>
        <w:spacing w:after="160" w:line="276"/>
        <w:jc w:val="both"/>
      </w:pPr>
      <w:r>
        <w:rPr>
          <w:rFonts w:ascii="Times New Roman" w:cs="Times New Roman" w:eastAsia="Times New Roman" w:hAnsi="Times New Roman"/>
          <w:b/>
          <w:bCs/>
          <w:i w:val="false"/>
          <w:iCs w:val="false"/>
          <w:caps w:val="false"/>
          <w:sz w:val="24"/>
          <w:szCs w:val="24"/>
        </w:rPr>
        <w:t xml:space="preserve">C. Adverse authority, distinguished</w:t>
      </w:r>
    </w:p>
    <w:p>
      <w:pPr>
        <w:pStyle w:val="ListParagraph"/>
        <w:numPr>
          <w:ilvl w:val="0"/>
          <w:numId w:val="4"/>
        </w:numPr>
        <w:spacing w:after="140" w:line="276"/>
        <w:jc w:val="both"/>
      </w:pPr>
      <w:r>
        <w:rPr>
          <w:rFonts w:ascii="Times New Roman" w:cs="Times New Roman" w:eastAsia="Times New Roman" w:hAnsi="Times New Roman"/>
          <w:b w:val="false"/>
          <w:bCs w:val="false"/>
          <w:i w:val="false"/>
          <w:iCs w:val="false"/>
          <w:caps w:val="false"/>
          <w:sz w:val="24"/>
          <w:szCs w:val="24"/>
        </w:rPr>
        <w:t xml:space="preserve">State of Karnataka v. Ecom Gill Coffee Trading Pvt. Ltd., SC, Civil Appeal No. 230 of 2023, 13.03.2023; Aastha Enterprises v. State of Bihar, Patna HC, 18.08.2023. [VERIFY]</w:t>
      </w:r>
    </w:p>
    <w:p>
      <w:pPr>
        <w:spacing w:after="160" w:line="276"/>
        <w:jc w:val="both"/>
      </w:pPr>
      <w:r>
        <w:rPr>
          <w:rFonts w:ascii="Times New Roman" w:cs="Times New Roman" w:eastAsia="Times New Roman" w:hAnsi="Times New Roman"/>
          <w:b/>
          <w:bCs/>
          <w:i w:val="false"/>
          <w:iCs w:val="false"/>
          <w:caps w:val="false"/>
          <w:sz w:val="24"/>
          <w:szCs w:val="24"/>
        </w:rPr>
        <w:t xml:space="preserve">D. Statutory framework</w:t>
      </w:r>
    </w:p>
    <w:p>
      <w:pPr>
        <w:pStyle w:val="ListParagraph"/>
        <w:numPr>
          <w:ilvl w:val="0"/>
          <w:numId w:val="4"/>
        </w:numPr>
        <w:spacing w:after="140" w:line="276"/>
        <w:jc w:val="both"/>
      </w:pPr>
      <w:r>
        <w:rPr>
          <w:rFonts w:ascii="Times New Roman" w:cs="Times New Roman" w:eastAsia="Times New Roman" w:hAnsi="Times New Roman"/>
          <w:b w:val="false"/>
          <w:bCs w:val="false"/>
          <w:i w:val="false"/>
          <w:iCs w:val="false"/>
          <w:caps w:val="false"/>
          <w:sz w:val="24"/>
          <w:szCs w:val="24"/>
        </w:rPr>
        <w:t xml:space="preserve">Sections 16(2)(a)–(d), 41, 50, 73, 74, 122, 155 of the CGST Act, 2017; Rules 36, 88B and 142 of the CGST Rules, 2017.</w:t>
      </w:r>
    </w:p>
    <w:p>
      <w:pPr>
        <w:pStyle w:val="Heading1"/>
        <w:spacing w:after="160" w:before="260"/>
      </w:pPr>
      <w:r>
        <w:rPr>
          <w:rFonts w:ascii="Times New Roman" w:cs="Times New Roman" w:eastAsia="Times New Roman" w:hAnsi="Times New Roman"/>
          <w:b/>
          <w:bCs/>
          <w:caps/>
          <w:sz w:val="26"/>
          <w:szCs w:val="26"/>
        </w:rPr>
        <w:t xml:space="preserve">Verification and Declaration</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I, [Name], [Director / Authorised Signatory] of M/s Noticedesk Technologies Private Limited, do hereby solemnly affirm and declare that the contents of the above reply are true and correct to the best of my knowledge and belief, that the documents annexed are true copies of their originals, and that nothing material has been concealed therefrom.</w:t>
      </w:r>
    </w:p>
    <w:p>
      <w:pPr>
        <w:spacing w:after="20" w:before="160" w:line="276"/>
        <w:jc w:val="both"/>
      </w:pPr>
      <w:r>
        <w:rPr>
          <w:rFonts w:ascii="Times New Roman" w:cs="Times New Roman" w:eastAsia="Times New Roman" w:hAnsi="Times New Roman"/>
          <w:b w:val="false"/>
          <w:bCs w:val="false"/>
          <w:i w:val="false"/>
          <w:iCs w:val="false"/>
          <w:caps w:val="false"/>
          <w:sz w:val="24"/>
          <w:szCs w:val="24"/>
        </w:rPr>
        <w:t xml:space="preserve">For and on behalf of</w:t>
      </w:r>
    </w:p>
    <w:p>
      <w:pPr>
        <w:spacing w:after="200" w:line="276"/>
        <w:jc w:val="both"/>
      </w:pPr>
      <w:r>
        <w:rPr>
          <w:rFonts w:ascii="Times New Roman" w:cs="Times New Roman" w:eastAsia="Times New Roman" w:hAnsi="Times New Roman"/>
          <w:b/>
          <w:bCs/>
          <w:i w:val="false"/>
          <w:iCs w:val="false"/>
          <w:caps w:val="false"/>
          <w:sz w:val="24"/>
          <w:szCs w:val="24"/>
        </w:rPr>
        <w:t xml:space="preserve">M/s Noticedesk Technologies Private Limited</w:t>
      </w:r>
    </w:p>
    <w:p>
      <w:pPr>
        <w:spacing w:after="20" w:line="276"/>
        <w:jc w:val="both"/>
      </w:pPr>
      <w:r>
        <w:rPr>
          <w:rFonts w:ascii="Times New Roman" w:cs="Times New Roman" w:eastAsia="Times New Roman" w:hAnsi="Times New Roman"/>
          <w:b w:val="false"/>
          <w:bCs w:val="false"/>
          <w:i w:val="false"/>
          <w:iCs w:val="false"/>
          <w:caps w:val="false"/>
          <w:sz w:val="24"/>
          <w:szCs w:val="24"/>
        </w:rPr>
        <w:t xml:space="preserve">_______________________________</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Authorised Signatory / Director</w:t>
      </w:r>
    </w:p>
    <w:p>
      <w:pPr>
        <w:spacing w:after="20" w:line="276"/>
        <w:jc w:val="both"/>
      </w:pPr>
      <w:r>
        <w:rPr>
          <w:rFonts w:ascii="Times New Roman" w:cs="Times New Roman" w:eastAsia="Times New Roman" w:hAnsi="Times New Roman"/>
          <w:b w:val="false"/>
          <w:bCs w:val="false"/>
          <w:i w:val="false"/>
          <w:iCs w:val="false"/>
          <w:caps w:val="false"/>
          <w:sz w:val="24"/>
          <w:szCs w:val="24"/>
        </w:rPr>
        <w:t xml:space="preserve">Place: Mumbai</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Date: [____]</w:t>
      </w:r>
    </w:p>
    <w:p>
      <w:pPr>
        <w:pStyle w:val="Heading1"/>
        <w:spacing w:after="160" w:before="260"/>
      </w:pPr>
      <w:r>
        <w:rPr>
          <w:rFonts w:ascii="Times New Roman" w:cs="Times New Roman" w:eastAsia="Times New Roman" w:hAnsi="Times New Roman"/>
          <w:b/>
          <w:bCs/>
          <w:caps/>
          <w:sz w:val="26"/>
          <w:szCs w:val="26"/>
        </w:rPr>
        <w:t xml:space="preserve">List of Annexures</w:t>
      </w:r>
    </w:p>
    <w:p>
      <w:pPr>
        <w:pStyle w:val="ListParagraph"/>
        <w:numPr>
          <w:ilvl w:val="0"/>
          <w:numId w:val="5"/>
        </w:numPr>
        <w:spacing w:after="140" w:line="276"/>
        <w:jc w:val="both"/>
      </w:pPr>
      <w:r>
        <w:rPr>
          <w:rFonts w:ascii="Times New Roman" w:cs="Times New Roman" w:eastAsia="Times New Roman" w:hAnsi="Times New Roman"/>
          <w:b w:val="false"/>
          <w:bCs w:val="false"/>
          <w:i w:val="false"/>
          <w:iCs w:val="false"/>
          <w:caps w:val="false"/>
          <w:sz w:val="24"/>
          <w:szCs w:val="24"/>
        </w:rPr>
        <w:t xml:space="preserve">Annexure 1 — Tax invoices of the Supplier for the disputed supplies.</w:t>
      </w:r>
    </w:p>
    <w:p>
      <w:pPr>
        <w:pStyle w:val="ListParagraph"/>
        <w:numPr>
          <w:ilvl w:val="0"/>
          <w:numId w:val="5"/>
        </w:numPr>
        <w:spacing w:after="140" w:line="276"/>
        <w:jc w:val="both"/>
      </w:pPr>
      <w:r>
        <w:rPr>
          <w:rFonts w:ascii="Times New Roman" w:cs="Times New Roman" w:eastAsia="Times New Roman" w:hAnsi="Times New Roman"/>
          <w:b w:val="false"/>
          <w:bCs w:val="false"/>
          <w:i w:val="false"/>
          <w:iCs w:val="false"/>
          <w:caps w:val="false"/>
          <w:sz w:val="24"/>
          <w:szCs w:val="24"/>
        </w:rPr>
        <w:t xml:space="preserve">Annexure 2 — Bank statements evidencing payment to the Supplier including tax.</w:t>
      </w:r>
    </w:p>
    <w:p>
      <w:pPr>
        <w:pStyle w:val="ListParagraph"/>
        <w:numPr>
          <w:ilvl w:val="0"/>
          <w:numId w:val="5"/>
        </w:numPr>
        <w:spacing w:after="140" w:line="276"/>
        <w:jc w:val="both"/>
      </w:pPr>
      <w:r>
        <w:rPr>
          <w:rFonts w:ascii="Times New Roman" w:cs="Times New Roman" w:eastAsia="Times New Roman" w:hAnsi="Times New Roman"/>
          <w:b w:val="false"/>
          <w:bCs w:val="false"/>
          <w:i w:val="false"/>
          <w:iCs w:val="false"/>
          <w:caps w:val="false"/>
          <w:sz w:val="24"/>
          <w:szCs w:val="24"/>
        </w:rPr>
        <w:t xml:space="preserve">Annexure 3 — Transport / e-way bill documents evidencing movement and receipt of goods.</w:t>
      </w:r>
    </w:p>
    <w:p>
      <w:pPr>
        <w:pStyle w:val="ListParagraph"/>
        <w:numPr>
          <w:ilvl w:val="0"/>
          <w:numId w:val="5"/>
        </w:numPr>
        <w:spacing w:after="140" w:line="276"/>
        <w:jc w:val="both"/>
      </w:pPr>
      <w:r>
        <w:rPr>
          <w:rFonts w:ascii="Times New Roman" w:cs="Times New Roman" w:eastAsia="Times New Roman" w:hAnsi="Times New Roman"/>
          <w:b w:val="false"/>
          <w:bCs w:val="false"/>
          <w:i w:val="false"/>
          <w:iCs w:val="false"/>
          <w:caps w:val="false"/>
          <w:sz w:val="24"/>
          <w:szCs w:val="24"/>
        </w:rPr>
        <w:t xml:space="preserve">Annexure 4 — Copy of the Impugned SCN and of the Company’s letter calling for relied-upon documents.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360"/>
      </w:pPr>
    </w:lvl>
  </w:abstractNum>
  <w:abstractNum w:abstractNumId="3" w15:restartNumberingAfterBreak="0">
    <w:multiLevelType w:val="hybridMultilevel"/>
    <w:lvl w:ilvl="0" w15:tentative="1">
      <w:start w:val="1"/>
      <w:numFmt w:val="lowerLetter"/>
      <w:lvlText w:val="(%1)"/>
      <w:lvlJc w:val="left"/>
      <w:pPr>
        <w:ind w:left="1080" w:hanging="420"/>
      </w:pPr>
    </w:lvl>
  </w:abstractNum>
  <w:abstractNum w:abstractNumId="4" w15:restartNumberingAfterBreak="0">
    <w:multiLevelType w:val="hybridMultilevel"/>
    <w:lvl w:ilvl="0" w15:tentative="1">
      <w:start w:val="1"/>
      <w:numFmt w:val="lowerLetter"/>
      <w:lvlText w:val="(%1)"/>
      <w:lvlJc w:val="left"/>
      <w:pPr>
        <w:ind w:left="1080" w:hanging="420"/>
      </w:pPr>
    </w:lvl>
  </w:abstractNum>
  <w:abstractNum w:abstractNumId="5" w15:restartNumberingAfterBreak="0">
    <w:multiLevelType w:val="hybridMultilevel"/>
    <w:lvl w:ilvl="0" w15:tentative="1">
      <w:start w:val="1"/>
      <w:numFmt w:val="lowerLetter"/>
      <w:lvlText w:val="(%1)"/>
      <w:lvlJc w:val="left"/>
      <w:pPr>
        <w:ind w:left="1080" w:hanging="420"/>
      </w:pPr>
    </w:lvl>
  </w:abstractNum>
  <w:abstractNum w:abstractNumId="6" w15:restartNumberingAfterBreak="0">
    <w:multiLevelType w:val="hybridMultilevel"/>
    <w:lvl w:ilvl="0" w15:tentative="1">
      <w:start w:val="1"/>
      <w:numFmt w:val="decimal"/>
      <w:lvlText w:val="%1."/>
      <w:lvlJc w:val="left"/>
      <w:pPr>
        <w:ind w:left="600" w:hanging="360"/>
      </w:pPr>
    </w:lvl>
  </w:abstractNum>
  <w:abstractNum w:abstractNumId="7" w15:restartNumberingAfterBreak="0">
    <w:multiLevelType w:val="hybridMultilevel"/>
    <w:lvl w:ilvl="0" w15:tentative="1">
      <w:start w:val="1"/>
      <w:numFmt w:val="decimal"/>
      <w:lvlText w:val="%1."/>
      <w:lvlJc w:val="left"/>
      <w:pPr>
        <w:ind w:left="600" w:hanging="360"/>
      </w:pPr>
    </w:lvl>
  </w:abstractNum>
  <w:abstractNum w:abstractNumId="8" w15:restartNumberingAfterBreak="0">
    <w:multiLevelType w:val="hybridMultilevel"/>
    <w:lvl w:ilvl="0" w15:tentative="1">
      <w:start w:val="1"/>
      <w:numFmt w:val="decimal"/>
      <w:lvlText w:val="%1."/>
      <w:lvlJc w:val="left"/>
      <w:pPr>
        <w:ind w:left="600" w:hanging="360"/>
      </w:pPr>
    </w:lvl>
  </w:abstractNum>
  <w:abstractNum w:abstractNumId="9" w15:restartNumberingAfterBreak="0">
    <w:multiLevelType w:val="hybridMultilevel"/>
    <w:lvl w:ilvl="0" w15:tentative="1">
      <w:start w:val="1"/>
      <w:numFmt w:val="decimal"/>
      <w:lvlText w:val="%1."/>
      <w:lvlJc w:val="left"/>
      <w:pPr>
        <w:ind w:left="600" w:hanging="360"/>
      </w:pPr>
    </w:lvl>
  </w:abstractNum>
  <w:num w:numId="1">
    <w:abstractNumId w:val="1"/>
    <w:lvlOverride w:ilvl="0">
      <w:startOverride w:val="1"/>
    </w:lvlOverride>
  </w:num>
  <w:num w:numId="2">
    <w:abstractNumId w:val="2"/>
    <w:lvlOverride w:ilvl="0">
      <w:startOverride w:val="1"/>
    </w:lvlOverride>
  </w:num>
  <w:num w:numId="3">
    <w:abstractNumId w:val="6"/>
    <w:lvlOverride w:ilvl="0">
      <w:startOverride w:val="1"/>
    </w:lvlOverride>
  </w:num>
  <w:num w:numId="4">
    <w:abstractNumId w:val="7"/>
    <w:lvlOverride w:ilvl="0">
      <w:startOverride w:val="1"/>
    </w:lvlOverride>
  </w:num>
  <w:num w:numId="5">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60"/>
      <w:outlineLvl w:val="0"/>
    </w:pPr>
    <w:rPr>
      <w:rFonts w:ascii="Times New Roman" w:cs="Times New Roman" w:eastAsia="Times New Roman" w:hAnsi="Times New Roman"/>
      <w:b/>
      <w:bCs/>
      <w:sz w:val="26"/>
      <w:szCs w:val="26"/>
    </w:rPr>
  </w:style>
  <w:style w:type="paragraph" w:styleId="Heading2">
    <w:name w:val="Heading 2"/>
    <w:basedOn w:val="Normal"/>
    <w:next w:val="Normal"/>
    <w:qFormat/>
    <w:pPr>
      <w:spacing w:after="140" w:before="200"/>
      <w:outlineLvl w:val="1"/>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2026-06-13T08:28:08.892Z</dcterms:created>
  <dcterms:modified xsi:type="dcterms:W3CDTF">2026-06-13T08:28:08.892Z</dcterms:modified>
</cp:coreProperties>
</file>

<file path=docProps/custom.xml><?xml version="1.0" encoding="utf-8"?>
<Properties xmlns="http://schemas.openxmlformats.org/officeDocument/2006/custom-properties" xmlns:vt="http://schemas.openxmlformats.org/officeDocument/2006/docPropsVTypes"/>
</file>