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line="276"/>
        <w:jc w:val="both"/>
      </w:pPr>
      <w:r>
        <w:rPr>
          <w:rFonts w:ascii="Times New Roman" w:cs="Times New Roman" w:eastAsia="Times New Roman" w:hAnsi="Times New Roman"/>
          <w:b w:val="false"/>
          <w:bCs w:val="false"/>
          <w:i w:val="false"/>
          <w:iCs w:val="false"/>
          <w:caps w:val="false"/>
          <w:sz w:val="24"/>
          <w:szCs w:val="24"/>
        </w:rPr>
        <w:t xml:space="preserve">To,</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The Learned Assistant Commissioner / Adjudicating Authority</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[Designation, Ward / Circle / Jurisdiction of the Proper Officer]</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[Office Address]</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Through: </w:t>
      </w:r>
      <w:r>
        <w:rPr>
          <w:rFonts w:ascii="Times New Roman" w:cs="Times New Roman" w:eastAsia="Times New Roman" w:hAnsi="Times New Roman"/>
          <w:b w:val="false"/>
          <w:bCs w:val="false"/>
          <w:i w:val="false"/>
          <w:iCs w:val="false"/>
          <w:caps w:val="false"/>
          <w:sz w:val="24"/>
          <w:szCs w:val="24"/>
        </w:rPr>
        <w:t xml:space="preserve">the common portal and by e-mail / hand delivery</w:t>
      </w:r>
    </w:p>
    <w:p>
      <w:pPr>
        <w:spacing w:after="60" w:line="276"/>
        <w:jc w:val="both"/>
      </w:pPr>
      <w:r>
        <w:rPr>
          <w:rFonts w:ascii="Times New Roman" w:cs="Times New Roman" w:eastAsia="Times New Roman" w:hAnsi="Times New Roman"/>
          <w:b w:val="false"/>
          <w:bCs w:val="false"/>
          <w:i w:val="false"/>
          <w:iCs w:val="false"/>
          <w:caps w:val="false"/>
          <w:sz w:val="24"/>
          <w:szCs w:val="24"/>
        </w:rPr>
        <w:t xml:space="preserve">In the matter of: </w:t>
      </w:r>
      <w:r>
        <w:rPr>
          <w:rFonts w:ascii="Times New Roman" w:cs="Times New Roman" w:eastAsia="Times New Roman" w:hAnsi="Times New Roman"/>
          <w:b/>
          <w:bCs/>
          <w:i w:val="false"/>
          <w:iCs w:val="false"/>
          <w:caps w:val="false"/>
          <w:sz w:val="24"/>
          <w:szCs w:val="24"/>
        </w:rPr>
        <w:t xml:space="preserve">M/s Noticedesk Technologies Private Limited</w:t>
      </w:r>
      <w:r>
        <w:rPr>
          <w:rFonts w:ascii="Times New Roman" w:cs="Times New Roman" w:eastAsia="Times New Roman" w:hAnsi="Times New Roman"/>
          <w:b w:val="false"/>
          <w:bCs w:val="false"/>
          <w:i w:val="false"/>
          <w:iCs w:val="false"/>
          <w:caps w:val="false"/>
          <w:sz w:val="24"/>
          <w:szCs w:val="24"/>
        </w:rPr>
        <w:t xml:space="preserve">  |  GSTIN [____________]  |  [Registered Address]</w:t>
      </w:r>
    </w:p>
    <w:p>
      <w:pPr>
        <w:spacing w:after="60" w:line="276"/>
        <w:jc w:val="both"/>
      </w:pPr>
      <w:r>
        <w:rPr>
          <w:rFonts w:ascii="Times New Roman" w:cs="Times New Roman" w:eastAsia="Times New Roman" w:hAnsi="Times New Roman"/>
          <w:b/>
          <w:bCs/>
          <w:i w:val="false"/>
          <w:iCs w:val="false"/>
          <w:caps w:val="false"/>
          <w:sz w:val="24"/>
          <w:szCs w:val="24"/>
        </w:rPr>
        <w:t xml:space="preserve">Subject: </w:t>
      </w:r>
      <w:r>
        <w:rPr>
          <w:rFonts w:ascii="Times New Roman" w:cs="Times New Roman" w:eastAsia="Times New Roman" w:hAnsi="Times New Roman"/>
          <w:b/>
          <w:bCs/>
          <w:i w:val="false"/>
          <w:iCs w:val="false"/>
          <w:caps w:val="false"/>
          <w:sz w:val="24"/>
          <w:szCs w:val="24"/>
        </w:rPr>
        <w:t xml:space="preserve">Reply / objection to the blocking of input tax credit under Rule 86A of the CGST Rules, 2017 on the ground that a supplier is allegedly not traceable, and request for unblocking — Notice No. [____] dated [____].</w:t>
      </w:r>
    </w:p>
    <w:p>
      <w:pPr>
        <w:spacing w:after="120" w:line="276"/>
        <w:jc w:val="both"/>
      </w:pPr>
      <w:r>
        <w:rPr>
          <w:rFonts w:ascii="Times New Roman" w:cs="Times New Roman" w:eastAsia="Times New Roman" w:hAnsi="Times New Roman"/>
          <w:b/>
          <w:bCs/>
          <w:i w:val="false"/>
          <w:iCs w:val="false"/>
          <w:caps w:val="false"/>
          <w:sz w:val="24"/>
          <w:szCs w:val="24"/>
        </w:rPr>
        <w:t xml:space="preserve">Ref: </w:t>
      </w:r>
      <w:r>
        <w:rPr>
          <w:rFonts w:ascii="Times New Roman" w:cs="Times New Roman" w:eastAsia="Times New Roman" w:hAnsi="Times New Roman"/>
          <w:b w:val="false"/>
          <w:bCs w:val="false"/>
          <w:i w:val="false"/>
          <w:iCs w:val="false"/>
          <w:caps w:val="false"/>
          <w:sz w:val="24"/>
          <w:szCs w:val="24"/>
        </w:rPr>
        <w:t xml:space="preserve">Notice No. [____] dated [____] (the “Impugned Notice”).</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Respected Sir / Madam,</w:t>
      </w:r>
    </w:p>
    <w:p>
      <w:pPr>
        <w:spacing w:after="120"/>
        <w:jc w:val="both"/>
      </w:pPr>
      <w:r>
        <w:rPr>
          <w:rFonts w:ascii="Times New Roman" w:cs="Times New Roman" w:eastAsia="Times New Roman" w:hAnsi="Times New Roman"/>
          <w:b/>
          <w:bCs/>
          <w:i/>
          <w:iCs/>
          <w:sz w:val="20"/>
          <w:szCs w:val="20"/>
        </w:rPr>
        <w:t xml:space="preserve">Drafting note (to be removed before filing): </w:t>
      </w:r>
      <w:r>
        <w:rPr>
          <w:rFonts w:ascii="Times New Roman" w:cs="Times New Roman" w:eastAsia="Times New Roman" w:hAnsi="Times New Roman"/>
          <w:i/>
          <w:iCs/>
          <w:sz w:val="20"/>
          <w:szCs w:val="20"/>
        </w:rPr>
        <w:t xml:space="preserve">Particulars in bold square brackets are placeholders. Every case authority is marked [VERIFY] for a final check before filing. The amount blocked and the ground (supplier not traceable) are reproduced from the Impugned Notice.</w:t>
      </w:r>
    </w:p>
    <w:p>
      <w:pPr>
        <w:pStyle w:val="Heading1"/>
        <w:spacing w:after="160" w:before="260"/>
      </w:pPr>
      <w:r>
        <w:rPr>
          <w:rFonts w:ascii="Times New Roman" w:cs="Times New Roman" w:eastAsia="Times New Roman" w:hAnsi="Times New Roman"/>
          <w:b/>
          <w:bCs/>
          <w:caps/>
          <w:sz w:val="26"/>
          <w:szCs w:val="26"/>
        </w:rPr>
        <w:t xml:space="preserve">Synopsis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By the Impugned Notice the proper officer has invoked Rule 86A to block / direct reversal of input tax credit of Rs. [____], on the ground that, on a verification visit, the Company’s supplier was not found at its registered place of business. The action is unsustainable. Rule 86A is an emergency, subordinate provision that cannot travel beyond Section 16; the credit validly availed under Section 16 is a vested right; the blocking was ordered without a pre-decisional hearing, without the officer’s own independent ‘reasons to believe’, and without supplying the verification report; and any blocking is, in law, both confined to the credit available in the Electronic Credit Ledger and limited to one year.</w:t>
      </w:r>
    </w:p>
    <w:p>
      <w:pPr>
        <w:pStyle w:val="Heading1"/>
        <w:spacing w:after="160" w:before="260"/>
      </w:pPr>
      <w:r>
        <w:rPr>
          <w:rFonts w:ascii="Times New Roman" w:cs="Times New Roman" w:eastAsia="Times New Roman" w:hAnsi="Times New Roman"/>
          <w:b/>
          <w:bCs/>
          <w:caps/>
          <w:sz w:val="26"/>
          <w:szCs w:val="26"/>
        </w:rPr>
        <w:t xml:space="preserve">Statement of Facts</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Company. </w:t>
      </w:r>
      <w:r>
        <w:rPr>
          <w:rFonts w:ascii="Times New Roman" w:cs="Times New Roman" w:eastAsia="Times New Roman" w:hAnsi="Times New Roman"/>
          <w:b w:val="false"/>
          <w:bCs w:val="false"/>
          <w:i w:val="false"/>
          <w:iCs w:val="false"/>
          <w:caps w:val="false"/>
          <w:sz w:val="24"/>
          <w:szCs w:val="24"/>
        </w:rPr>
        <w:t xml:space="preserve">M/s Noticedesk Technologies Private Limited, GSTIN [____________], is a registered person in compliance with the Act, not engaged in any wrongdoing.</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The credit and the action. </w:t>
      </w:r>
      <w:r>
        <w:rPr>
          <w:rFonts w:ascii="Times New Roman" w:cs="Times New Roman" w:eastAsia="Times New Roman" w:hAnsi="Times New Roman"/>
          <w:b w:val="false"/>
          <w:bCs w:val="false"/>
          <w:i w:val="false"/>
          <w:iCs w:val="false"/>
          <w:caps w:val="false"/>
          <w:sz w:val="24"/>
          <w:szCs w:val="24"/>
        </w:rPr>
        <w:t xml:space="preserve">The Company availed credit on supplies from its supplier on the strength of valid tax invoices and after receipt and payment. On a verification visit dated [____], the supplier was said not to be doing business at its registered place; on that footing the proper officer invoked Rule 86A to block / reverse credit of Rs. [____].</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Process not followed. </w:t>
      </w:r>
      <w:r>
        <w:rPr>
          <w:rFonts w:ascii="Times New Roman" w:cs="Times New Roman" w:eastAsia="Times New Roman" w:hAnsi="Times New Roman"/>
          <w:b w:val="false"/>
          <w:bCs w:val="false"/>
          <w:i w:val="false"/>
          <w:iCs w:val="false"/>
          <w:caps w:val="false"/>
          <w:sz w:val="24"/>
          <w:szCs w:val="24"/>
        </w:rPr>
        <w:t xml:space="preserve">No pre-decisional hearing was afforded; the verification report and the recorded reasons (if any) have not been furnished; and no opportunity to cross-examine the visiting officials or the witness to the report has been given.</w:t>
      </w:r>
    </w:p>
    <w:p>
      <w:pPr>
        <w:pStyle w:val="ListParagraph"/>
        <w:numPr>
          <w:ilvl w:val="0"/>
          <w:numId w:val="2"/>
        </w:numPr>
        <w:spacing w:after="140" w:line="276"/>
        <w:jc w:val="both"/>
      </w:pPr>
      <w:r>
        <w:rPr>
          <w:rFonts w:ascii="Times New Roman" w:cs="Times New Roman" w:eastAsia="Times New Roman" w:hAnsi="Times New Roman"/>
          <w:b/>
          <w:bCs/>
          <w:i w:val="false"/>
          <w:iCs w:val="false"/>
          <w:caps w:val="false"/>
          <w:sz w:val="24"/>
          <w:szCs w:val="24"/>
        </w:rPr>
        <w:t xml:space="preserve">Procedural chronology.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326"/>
      </w:tblGrid>
      <w:tr>
        <w:trPr>
          <w:tblHeader/>
        </w:trPr>
        <w:tc>
          <w:tcPr>
            <w:tcW w:type="dxa" w:w="1500"/>
            <w:tcBorders>
              <w:top w:val="single" w:color="808080" w:sz="4"/>
              <w:left w:val="single" w:color="808080" w:sz="4"/>
              <w:bottom w:val="single" w:color="808080" w:sz="4"/>
              <w:right w:val="single" w:color="808080" w:sz="4"/>
            </w:tcBorders>
            <w:shd w:fill="D9D9D9" w:color="auto" w:val="clear"/>
            <w:tcMar>
              <w:top w:type="dxa" w:w="60"/>
              <w:left w:type="dxa" w:w="110"/>
              <w:bottom w:type="dxa" w:w="60"/>
              <w:right w:type="dxa" w:w="110"/>
            </w:tcMar>
          </w:tcPr>
          <w:p>
            <w:pPr>
              <w:spacing w:after="0" w:line="252"/>
            </w:pPr>
            <w:r>
              <w:rPr>
                <w:rFonts w:ascii="Times New Roman" w:cs="Times New Roman" w:eastAsia="Times New Roman" w:hAnsi="Times New Roman"/>
                <w:b/>
                <w:bCs/>
                <w:sz w:val="21"/>
                <w:szCs w:val="21"/>
              </w:rPr>
              <w:t xml:space="preserve">Date</w:t>
            </w:r>
          </w:p>
        </w:tc>
        <w:tc>
          <w:tcPr>
            <w:tcW w:type="dxa" w:w="3200"/>
            <w:tcBorders>
              <w:top w:val="single" w:color="808080" w:sz="4"/>
              <w:left w:val="single" w:color="808080" w:sz="4"/>
              <w:bottom w:val="single" w:color="808080" w:sz="4"/>
              <w:right w:val="single" w:color="808080" w:sz="4"/>
            </w:tcBorders>
            <w:shd w:fill="D9D9D9" w:color="auto" w:val="clear"/>
            <w:tcMar>
              <w:top w:type="dxa" w:w="60"/>
              <w:left w:type="dxa" w:w="110"/>
              <w:bottom w:type="dxa" w:w="60"/>
              <w:right w:type="dxa" w:w="110"/>
            </w:tcMar>
          </w:tcPr>
          <w:p>
            <w:pPr>
              <w:spacing w:after="0" w:line="252"/>
            </w:pPr>
            <w:r>
              <w:rPr>
                <w:rFonts w:ascii="Times New Roman" w:cs="Times New Roman" w:eastAsia="Times New Roman" w:hAnsi="Times New Roman"/>
                <w:b/>
                <w:bCs/>
                <w:sz w:val="21"/>
                <w:szCs w:val="21"/>
              </w:rPr>
              <w:t xml:space="preserve">Event / Stage</w:t>
            </w:r>
          </w:p>
        </w:tc>
        <w:tc>
          <w:tcPr>
            <w:tcW w:type="dxa" w:w="4326"/>
            <w:tcBorders>
              <w:top w:val="single" w:color="808080" w:sz="4"/>
              <w:left w:val="single" w:color="808080" w:sz="4"/>
              <w:bottom w:val="single" w:color="808080" w:sz="4"/>
              <w:right w:val="single" w:color="808080" w:sz="4"/>
            </w:tcBorders>
            <w:shd w:fill="D9D9D9" w:color="auto" w:val="clear"/>
            <w:tcMar>
              <w:top w:type="dxa" w:w="60"/>
              <w:left w:type="dxa" w:w="110"/>
              <w:bottom w:type="dxa" w:w="60"/>
              <w:right w:type="dxa" w:w="110"/>
            </w:tcMar>
          </w:tcPr>
          <w:p>
            <w:pPr>
              <w:spacing w:after="0" w:line="252"/>
            </w:pPr>
            <w:r>
              <w:rPr>
                <w:rFonts w:ascii="Times New Roman" w:cs="Times New Roman" w:eastAsia="Times New Roman" w:hAnsi="Times New Roman"/>
                <w:b/>
                <w:bCs/>
                <w:sz w:val="21"/>
                <w:szCs w:val="21"/>
              </w:rPr>
              <w:t xml:space="preserve">Document / Reference</w:t>
            </w:r>
          </w:p>
        </w:tc>
      </w:tr>
      <w:tr>
        <w:tc>
          <w:tcPr>
            <w:tcW w:type="dxa" w:w="15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[date]</w:t>
            </w:r>
          </w:p>
        </w:tc>
        <w:tc>
          <w:tcPr>
            <w:tcW w:type="dxa" w:w="32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Supplies received under tax invoice; payment through banking channel</w:t>
            </w:r>
          </w:p>
        </w:tc>
        <w:tc>
          <w:tcPr>
            <w:tcW w:type="dxa" w:w="4326"/>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Tax invoices; bank statements</w:t>
            </w:r>
          </w:p>
        </w:tc>
      </w:tr>
      <w:tr>
        <w:tc>
          <w:tcPr>
            <w:tcW w:type="dxa" w:w="15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[date]</w:t>
            </w:r>
          </w:p>
        </w:tc>
        <w:tc>
          <w:tcPr>
            <w:tcW w:type="dxa" w:w="32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Verification visit; supplier allegedly not traceable</w:t>
            </w:r>
          </w:p>
        </w:tc>
        <w:tc>
          <w:tcPr>
            <w:tcW w:type="dxa" w:w="4326"/>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Verification report (not furnished)</w:t>
            </w:r>
          </w:p>
        </w:tc>
      </w:tr>
      <w:tr>
        <w:tc>
          <w:tcPr>
            <w:tcW w:type="dxa" w:w="15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[date]</w:t>
            </w:r>
          </w:p>
        </w:tc>
        <w:tc>
          <w:tcPr>
            <w:tcW w:type="dxa" w:w="32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Rule 86A invoked; credit of Rs. [____] blocked</w:t>
            </w:r>
          </w:p>
        </w:tc>
        <w:tc>
          <w:tcPr>
            <w:tcW w:type="dxa" w:w="4326"/>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Impugned Notice, No. [____] dated [____]</w:t>
            </w:r>
          </w:p>
        </w:tc>
      </w:tr>
      <w:tr>
        <w:tc>
          <w:tcPr>
            <w:tcW w:type="dxa" w:w="15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[date]</w:t>
            </w:r>
          </w:p>
        </w:tc>
        <w:tc>
          <w:tcPr>
            <w:tcW w:type="dxa" w:w="3200"/>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This reply / objection and request for unblocking</w:t>
            </w:r>
          </w:p>
        </w:tc>
        <w:tc>
          <w:tcPr>
            <w:tcW w:type="dxa" w:w="4326"/>
            <w:tcBorders>
              <w:top w:val="single" w:color="808080" w:sz="4"/>
              <w:left w:val="single" w:color="808080" w:sz="4"/>
              <w:bottom w:val="single" w:color="808080" w:sz="4"/>
              <w:right w:val="single" w:color="808080" w:sz="4"/>
            </w:tcBorders>
            <w:tcMar>
              <w:top w:type="dxa" w:w="60"/>
              <w:left w:type="dxa" w:w="110"/>
              <w:bottom w:type="dxa" w:w="60"/>
              <w:right w:type="dxa" w:w="110"/>
            </w:tcMar>
          </w:tcPr>
          <w:p>
            <w:pPr>
              <w:spacing w:after="0" w:line="252"/>
            </w:pPr>
            <w:r>
              <w:rPr>
                <w:rFonts w:ascii="Times New Roman" w:cs="Times New Roman" w:eastAsia="Times New Roman" w:hAnsi="Times New Roman"/>
                <w:b w:val="false"/>
                <w:bCs w:val="false"/>
                <w:sz w:val="21"/>
                <w:szCs w:val="21"/>
              </w:rPr>
              <w:t xml:space="preserve">Present reply</w:t>
            </w:r>
          </w:p>
        </w:tc>
      </w:tr>
    </w:tbl>
    <w:p>
      <w:pPr>
        <w:pStyle w:val="Heading1"/>
        <w:spacing w:after="160" w:before="260"/>
      </w:pPr>
      <w:r>
        <w:rPr>
          <w:rFonts w:ascii="Times New Roman" w:cs="Times New Roman" w:eastAsia="Times New Roman" w:hAnsi="Times New Roman"/>
          <w:b/>
          <w:bCs/>
          <w:caps/>
          <w:sz w:val="26"/>
          <w:szCs w:val="26"/>
        </w:rPr>
        <w:t xml:space="preserve">Grounds / Submissions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Each ground is independently sufficient. The Company DENIES any basis for blocking the credit.</w:t>
      </w:r>
    </w:p>
    <w:p>
      <w:pPr>
        <w:pStyle w:val="Heading2"/>
        <w:spacing w:after="140" w:before="200"/>
      </w:pPr>
      <w:r>
        <w:rPr>
          <w:rFonts w:ascii="Times New Roman" w:cs="Times New Roman" w:eastAsia="Times New Roman" w:hAnsi="Times New Roman"/>
          <w:b/>
          <w:bCs/>
          <w:sz w:val="24"/>
          <w:szCs w:val="24"/>
        </w:rPr>
        <w:t xml:space="preserve">Ground 1: A pre-decisional hearing is mandatory, and the officer must form his own independent ‘reasons to believe’ — K-9 Enterprises</w:t>
      </w:r>
    </w:p>
    <w:p>
      <w:pPr>
        <w:spacing w:after="160" w:line="276"/>
        <w:jc w:val="both"/>
      </w:pPr>
      <w:r>
        <w:rPr>
          <w:rFonts w:ascii="Times New Roman" w:cs="Times New Roman" w:eastAsia="Times New Roman" w:hAnsi="Times New Roman"/>
          <w:b/>
          <w:bCs/>
          <w:sz w:val="24"/>
          <w:szCs w:val="24"/>
        </w:rPr>
        <w:t xml:space="preserve">(a) The defect.</w:t>
      </w:r>
      <w:r>
        <w:rPr>
          <w:rFonts w:ascii="Times New Roman" w:cs="Times New Roman" w:eastAsia="Times New Roman" w:hAnsi="Times New Roman"/>
          <w:sz w:val="24"/>
          <w:szCs w:val="24"/>
        </w:rPr>
        <w:t xml:space="preserve"> The credit was blocked without any prior hearing and on the strength of another wing’s verification report, without the proper officer’s independent application of mind and without reasons disclosed to the Company.</w:t>
      </w:r>
    </w:p>
    <w:p>
      <w:pPr>
        <w:spacing w:after="160" w:line="276"/>
        <w:jc w:val="both"/>
      </w:pPr>
      <w:r>
        <w:rPr>
          <w:rFonts w:ascii="Times New Roman" w:cs="Times New Roman" w:eastAsia="Times New Roman" w:hAnsi="Times New Roman"/>
          <w:b/>
          <w:bCs/>
          <w:sz w:val="24"/>
          <w:szCs w:val="24"/>
        </w:rPr>
        <w:t xml:space="preserve">(b) The law.</w:t>
      </w:r>
      <w:r>
        <w:rPr>
          <w:rFonts w:ascii="Times New Roman" w:cs="Times New Roman" w:eastAsia="Times New Roman" w:hAnsi="Times New Roman"/>
          <w:sz w:val="24"/>
          <w:szCs w:val="24"/>
        </w:rPr>
        <w:t xml:space="preserve"> Blocking under Rule 86A carries serious civil consequences and is a ‘drastic and draconian’ power. Reliance is placed on </w:t>
      </w:r>
    </w:p>
    <w:p>
      <w:pPr>
        <w:spacing w:after="160" w:line="276"/>
        <w:jc w:val="both"/>
      </w:pPr>
      <w:r>
        <w:rPr>
          <w:rFonts w:ascii="Times New Roman" w:cs="Times New Roman" w:eastAsia="Times New Roman" w:hAnsi="Times New Roman"/>
          <w:b/>
          <w:bCs/>
          <w:sz w:val="24"/>
          <w:szCs w:val="24"/>
        </w:rPr>
        <w:t xml:space="preserve">(c) Relief sought.</w:t>
      </w:r>
      <w:r>
        <w:rPr>
          <w:rFonts w:ascii="Times New Roman" w:cs="Times New Roman" w:eastAsia="Times New Roman" w:hAnsi="Times New Roman"/>
          <w:sz w:val="24"/>
          <w:szCs w:val="24"/>
        </w:rPr>
        <w:t xml:space="preserve"> Set aside the blocking for want of a pre-decisional hearing and of independent reasons; furnish the verification report and recorded reasons and afford a hearing.</w:t>
      </w:r>
    </w:p>
    <w:p>
      <w:pPr>
        <w:pStyle w:val="Heading2"/>
        <w:spacing w:after="140" w:before="200"/>
      </w:pPr>
      <w:r>
        <w:rPr>
          <w:rFonts w:ascii="Times New Roman" w:cs="Times New Roman" w:eastAsia="Times New Roman" w:hAnsi="Times New Roman"/>
          <w:b/>
          <w:bCs/>
          <w:sz w:val="24"/>
          <w:szCs w:val="24"/>
        </w:rPr>
        <w:t xml:space="preserve">Ground 2: Rule 86A cannot travel beyond Section 16; the credit validly availed is a vested right</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Rule 86A is subordinate legislation; it cannot enlarge or override the conditions of credit prescribed by Section 16, nor create a disqualification unknown to the Act. Where the Company has satisfied Section 16(2) — valid invoice, receipt of goods, payment to the supplier including tax, and furnishing of the return — the credit is validly availed and is a vested right of the registered person, which cannot be negated by a rule. The supplier’s subsequent untraceability does not retrospectively unmake a credit validly availed when the conditions of Section 16 stood satisfied.</w:t>
      </w:r>
    </w:p>
    <w:p>
      <w:pPr>
        <w:pStyle w:val="Heading2"/>
        <w:spacing w:after="140" w:before="200"/>
      </w:pPr>
      <w:r>
        <w:rPr>
          <w:rFonts w:ascii="Times New Roman" w:cs="Times New Roman" w:eastAsia="Times New Roman" w:hAnsi="Times New Roman"/>
          <w:b/>
          <w:bCs/>
          <w:sz w:val="24"/>
          <w:szCs w:val="24"/>
        </w:rPr>
        <w:t xml:space="preserve">Ground 3: Blocking is confined to credit available in the ledger — no ‘negative blocking’ — Best Crop Science / Samay Alloys</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Rule 86A authorises blocking only to the extent of input tax credit actually available in the Electronic Credit Ledger at the time of the order. ‘Negative blocking’ — blocking an amount exceeding the available balance, or compelling the Company to replenish the ledger — is impermissible. Reliance is placed on </w:t>
      </w:r>
      <w:r>
        <w:rPr>
          <w:rFonts w:ascii="Times New Roman" w:cs="Times New Roman" w:eastAsia="Times New Roman" w:hAnsi="Times New Roman"/>
          <w:b w:val="false"/>
          <w:bCs w:val="false"/>
          <w:i/>
          <w:iCs/>
          <w:caps w:val="false"/>
          <w:sz w:val="24"/>
          <w:szCs w:val="24"/>
        </w:rPr>
        <w:t xml:space="preserve">Best Crop Science Pvt. Ltd. v. Principal Commissioner, CGST</w:t>
      </w:r>
      <w:r>
        <w:rPr>
          <w:rFonts w:ascii="Times New Roman" w:cs="Times New Roman" w:eastAsia="Times New Roman" w:hAnsi="Times New Roman"/>
          <w:b w:val="false"/>
          <w:bCs w:val="false"/>
          <w:i w:val="false"/>
          <w:iCs w:val="false"/>
          <w:caps w:val="false"/>
          <w:sz w:val="24"/>
          <w:szCs w:val="24"/>
        </w:rPr>
        <w:t xml:space="preserve">, Delhi HC, W.P.(C) 10980 of 2024 (batch), decided 24.09.2024 (negative-blocking bar affirmed by the Supreme Court on 17.05.2025 and 09.07.2025), and </w:t>
      </w:r>
      <w:r>
        <w:rPr>
          <w:rFonts w:ascii="Times New Roman" w:cs="Times New Roman" w:eastAsia="Times New Roman" w:hAnsi="Times New Roman"/>
          <w:b w:val="false"/>
          <w:bCs w:val="false"/>
          <w:i/>
          <w:iCs/>
          <w:caps w:val="false"/>
          <w:sz w:val="24"/>
          <w:szCs w:val="24"/>
        </w:rPr>
        <w:t xml:space="preserve">Samay Alloys India Pvt. Ltd. v. State of Gujarat</w:t>
      </w:r>
      <w:r>
        <w:rPr>
          <w:rFonts w:ascii="Times New Roman" w:cs="Times New Roman" w:eastAsia="Times New Roman" w:hAnsi="Times New Roman"/>
          <w:b w:val="false"/>
          <w:bCs w:val="false"/>
          <w:i w:val="false"/>
          <w:iCs w:val="false"/>
          <w:caps w:val="false"/>
          <w:sz w:val="24"/>
          <w:szCs w:val="24"/>
        </w:rPr>
        <w:t xml:space="preserve">, Gujarat HC, 2022 (2) TMI 843 [VERIFY], holding that the availability of credit in the ledger is a condition precedent to invoking Rule 86A and that Rule 86A is a temporary preventive measure, not a recovery tool (recovery lying under Sections 73/74). Special Leave Petitions against the negative-blocking line are understood to have been dismissed by the Supreme Court [VERIFY].</w:t>
      </w:r>
    </w:p>
    <w:p>
      <w:pPr>
        <w:pStyle w:val="Heading2"/>
        <w:spacing w:after="140" w:before="200"/>
      </w:pPr>
      <w:r>
        <w:rPr>
          <w:rFonts w:ascii="Times New Roman" w:cs="Times New Roman" w:eastAsia="Times New Roman" w:hAnsi="Times New Roman"/>
          <w:b/>
          <w:bCs/>
          <w:sz w:val="24"/>
          <w:szCs w:val="24"/>
        </w:rPr>
        <w:t xml:space="preserve">Ground 4: Natural justice — the verification report must be supplied and cross-examination allowed</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action rests on a verification report withheld from the Company and on the say-so of officials the Company has had no chance to cross-examine. Consistently with Section 75(4) and the principles of natural justice, and with the cross-examination requirement recognised in </w:t>
      </w:r>
      <w:r>
        <w:rPr>
          <w:rFonts w:ascii="Times New Roman" w:cs="Times New Roman" w:eastAsia="Times New Roman" w:hAnsi="Times New Roman"/>
          <w:b w:val="false"/>
          <w:bCs w:val="false"/>
          <w:i/>
          <w:iCs/>
          <w:caps w:val="false"/>
          <w:sz w:val="24"/>
          <w:szCs w:val="24"/>
        </w:rPr>
        <w:t xml:space="preserve">Andaman Timber Industries v. CCE</w:t>
      </w:r>
      <w:r>
        <w:rPr>
          <w:rFonts w:ascii="Times New Roman" w:cs="Times New Roman" w:eastAsia="Times New Roman" w:hAnsi="Times New Roman"/>
          <w:b w:val="false"/>
          <w:bCs w:val="false"/>
          <w:i w:val="false"/>
          <w:iCs w:val="false"/>
          <w:caps w:val="false"/>
          <w:sz w:val="24"/>
          <w:szCs w:val="24"/>
        </w:rPr>
        <w:t xml:space="preserve">, 2015 (324) ELT 641 (SC) [VERIFY], the report must be furnished and cross-examination permitted before any adverse view is acted upon.</w:t>
      </w:r>
    </w:p>
    <w:p>
      <w:pPr>
        <w:pStyle w:val="Heading2"/>
        <w:spacing w:after="140" w:before="200"/>
      </w:pPr>
      <w:r>
        <w:rPr>
          <w:rFonts w:ascii="Times New Roman" w:cs="Times New Roman" w:eastAsia="Times New Roman" w:hAnsi="Times New Roman"/>
          <w:b/>
          <w:bCs/>
          <w:sz w:val="24"/>
          <w:szCs w:val="24"/>
        </w:rPr>
        <w:t xml:space="preserve">Ground 5: Any blocking cannot continue beyond one year — Rule 86A(3)</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Rule 86A(3) provides that a restriction imposed under the rule ceases to have effect on the expiry of one year from the date of imposition. To the extent the blocking has continued, or is sought to be continued, beyond that period, it is impermissible and the credit must be unblocked.</w:t>
      </w:r>
    </w:p>
    <w:p>
      <w:pPr>
        <w:pStyle w:val="Heading1"/>
        <w:spacing w:after="160" w:before="260"/>
      </w:pPr>
      <w:r>
        <w:rPr>
          <w:rFonts w:ascii="Times New Roman" w:cs="Times New Roman" w:eastAsia="Times New Roman" w:hAnsi="Times New Roman"/>
          <w:b/>
          <w:bCs/>
          <w:caps/>
          <w:sz w:val="26"/>
          <w:szCs w:val="26"/>
        </w:rPr>
        <w:t xml:space="preserve">Prayer</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The Company most respectfully prays that the proper officer be pleased to:</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UNBLOCK the input tax credit of Rs. [____] blocked under Rule 86A, the credit having been validly availed under Section 16;</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that the blocking is bad for want of a pre-decisional hearing and of the officer’s independent ‘reasons to believe’;</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that no ‘negative blocking’ beyond the available ledger balance is permissible, and that Rule 86A is not a recovery tool;</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FURNISH the verification report and recorded reasons, and PERMIT cross-examination of the officials / witnesses relied upon;</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HOLD that any blocking cannot continue beyond one year under Rule 86A(3);</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GRANT a personal hearing through the Authorised Representative before any adverse order; and</w:t>
      </w:r>
    </w:p>
    <w:p>
      <w:pPr>
        <w:pStyle w:val="ListParagraph"/>
        <w:numPr>
          <w:ilvl w:val="0"/>
          <w:numId w:val="3"/>
        </w:numPr>
        <w:spacing w:after="140" w:line="276"/>
        <w:jc w:val="both"/>
      </w:pPr>
      <w:r>
        <w:rPr>
          <w:rFonts w:ascii="Times New Roman" w:cs="Times New Roman" w:eastAsia="Times New Roman" w:hAnsi="Times New Roman"/>
          <w:b w:val="false"/>
          <w:bCs w:val="false"/>
          <w:i w:val="false"/>
          <w:iCs w:val="false"/>
          <w:caps w:val="false"/>
          <w:sz w:val="24"/>
          <w:szCs w:val="24"/>
        </w:rPr>
        <w:t xml:space="preserve">PASS such further or other order as may be just and proper.</w:t>
      </w:r>
    </w:p>
    <w:p>
      <w:pPr>
        <w:spacing w:after="160" w:before="80" w:line="276"/>
        <w:jc w:val="both"/>
      </w:pPr>
      <w:r>
        <w:rPr>
          <w:rFonts w:ascii="Times New Roman" w:cs="Times New Roman" w:eastAsia="Times New Roman" w:hAnsi="Times New Roman"/>
          <w:b w:val="false"/>
          <w:bCs w:val="false"/>
          <w:i w:val="false"/>
          <w:iCs w:val="false"/>
          <w:caps w:val="false"/>
          <w:sz w:val="24"/>
          <w:szCs w:val="24"/>
        </w:rPr>
        <w:t xml:space="preserve">The Company reserves the right to file additional submissions, to produce further documents, to inspect and take copies of the relied-upon documents, to cross-examine, and to present oral arguments at the personal hearing. Nothing herein shall be construed as an admission of any kind.</w:t>
      </w:r>
    </w:p>
    <w:p>
      <w:pPr>
        <w:pStyle w:val="Heading1"/>
        <w:spacing w:after="160" w:before="260"/>
      </w:pPr>
      <w:r>
        <w:rPr>
          <w:rFonts w:ascii="Times New Roman" w:cs="Times New Roman" w:eastAsia="Times New Roman" w:hAnsi="Times New Roman"/>
          <w:b/>
          <w:bCs/>
          <w:caps/>
          <w:sz w:val="26"/>
          <w:szCs w:val="26"/>
        </w:rPr>
        <w:t xml:space="preserve">Schedule of Authorities and Provisions Relied Upon</w:t>
      </w:r>
    </w:p>
    <w:p>
      <w:pPr>
        <w:spacing w:after="160" w:line="276"/>
        <w:jc w:val="both"/>
      </w:pPr>
      <w:r>
        <w:rPr>
          <w:rFonts w:ascii="Times New Roman" w:cs="Times New Roman" w:eastAsia="Times New Roman" w:hAnsi="Times New Roman"/>
          <w:b w:val="false"/>
          <w:bCs w:val="false"/>
          <w:i/>
          <w:iCs/>
          <w:caps w:val="false"/>
          <w:sz w:val="24"/>
          <w:szCs w:val="24"/>
        </w:rPr>
        <w:t xml:space="preserve">Case authorities are marked [VERIFY] for a final check before filing.</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Sections 16(1), 16(2)(a)–(d), 17, 73, 74, 75(4) of the CGST Act, 2017; Rule 86A (including sub-rule (3)) of the CGST Rules, 2017.</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K-9 Enterprises v. State of Karnataka, Karnataka HC (DB), W.A. No. 100425 of 2023, 02.04.2024; Revenue's SLP, SLP(C) Diary No. 11543 of 2025, [2025] 174 taxmann.com 701, dismissed by SC on 16.05.2025 on merits and for delay.</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Best Crop Science Pvt. Ltd. v. Principal Commissioner, CGST, Delhi HC, W.P.(C) 10980 of 2024 (batch), 24.09.2024 (negative-blocking bar affirmed by SC dismissals in Kings Security Guard Services, 17.05.2025, 2025 (5) TMI 1519 (SC), and Karuna Rajendra Ringshia, 09.07.2025, 2025 (7) TMI 791 (SC)).</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Samay Alloys India Pvt. Ltd. v. State of Gujarat, Gujarat HC, 2022 (2) TMI 843. [VERIFY]</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Dee Vee Projects Ltd. v. Government of Maharashtra, Bombay HC, 2022 SCC OnLine Bom 304. [VERIFY]</w:t>
      </w:r>
    </w:p>
    <w:p>
      <w:pPr>
        <w:pStyle w:val="ListParagraph"/>
        <w:numPr>
          <w:ilvl w:val="0"/>
          <w:numId w:val="4"/>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Andaman Timber Industries v. CCE, Supreme Court, 2015 (324) ELT 641 (SC) — cross-examination. [VERIFY]</w:t>
      </w:r>
    </w:p>
    <w:p>
      <w:pPr>
        <w:pStyle w:val="Heading1"/>
        <w:spacing w:after="160" w:before="260"/>
      </w:pPr>
      <w:r>
        <w:rPr>
          <w:rFonts w:ascii="Times New Roman" w:cs="Times New Roman" w:eastAsia="Times New Roman" w:hAnsi="Times New Roman"/>
          <w:b/>
          <w:bCs/>
          <w:caps/>
          <w:sz w:val="26"/>
          <w:szCs w:val="26"/>
        </w:rPr>
        <w:t xml:space="preserve">Verification and Declaration</w:t>
      </w:r>
    </w:p>
    <w:p>
      <w:pPr>
        <w:spacing w:after="160" w:line="276"/>
        <w:jc w:val="both"/>
      </w:pPr>
      <w:r>
        <w:rPr>
          <w:rFonts w:ascii="Times New Roman" w:cs="Times New Roman" w:eastAsia="Times New Roman" w:hAnsi="Times New Roman"/>
          <w:b w:val="false"/>
          <w:bCs w:val="false"/>
          <w:i w:val="false"/>
          <w:iCs w:val="false"/>
          <w:caps w:val="false"/>
          <w:sz w:val="24"/>
          <w:szCs w:val="24"/>
        </w:rPr>
        <w:t xml:space="preserve">I, [Name], [Director / Authorised Signatory] of M/s Noticedesk Technologies Private Limited, do hereby solemnly affirm and declare that the contents of the above reply are true and correct to the best of my knowledge and belief, that the documents annexed are true copies of their originals, and that nothing material has been concealed therefrom.</w:t>
      </w:r>
    </w:p>
    <w:p>
      <w:pPr>
        <w:spacing w:after="20" w:before="160" w:line="276"/>
        <w:jc w:val="both"/>
      </w:pPr>
      <w:r>
        <w:rPr>
          <w:rFonts w:ascii="Times New Roman" w:cs="Times New Roman" w:eastAsia="Times New Roman" w:hAnsi="Times New Roman"/>
          <w:b w:val="false"/>
          <w:bCs w:val="false"/>
          <w:i w:val="false"/>
          <w:iCs w:val="false"/>
          <w:caps w:val="false"/>
          <w:sz w:val="24"/>
          <w:szCs w:val="24"/>
        </w:rPr>
        <w:t xml:space="preserve">For and on behalf of</w:t>
      </w:r>
    </w:p>
    <w:p>
      <w:pPr>
        <w:spacing w:after="200" w:line="276"/>
        <w:jc w:val="both"/>
      </w:pPr>
      <w:r>
        <w:rPr>
          <w:rFonts w:ascii="Times New Roman" w:cs="Times New Roman" w:eastAsia="Times New Roman" w:hAnsi="Times New Roman"/>
          <w:b/>
          <w:bCs/>
          <w:i w:val="false"/>
          <w:iCs w:val="false"/>
          <w:caps w:val="false"/>
          <w:sz w:val="24"/>
          <w:szCs w:val="24"/>
        </w:rPr>
        <w:t xml:space="preserve">M/s Noticedesk Technologies Private Limited</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_______________________________</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Authorised Signatory / Director</w:t>
      </w:r>
    </w:p>
    <w:p>
      <w:pPr>
        <w:spacing w:after="20" w:line="276"/>
        <w:jc w:val="both"/>
      </w:pPr>
      <w:r>
        <w:rPr>
          <w:rFonts w:ascii="Times New Roman" w:cs="Times New Roman" w:eastAsia="Times New Roman" w:hAnsi="Times New Roman"/>
          <w:b w:val="false"/>
          <w:bCs w:val="false"/>
          <w:i w:val="false"/>
          <w:iCs w:val="false"/>
          <w:caps w:val="false"/>
          <w:sz w:val="24"/>
          <w:szCs w:val="24"/>
        </w:rPr>
        <w:t xml:space="preserve">Place: Mumbai</w:t>
      </w:r>
    </w:p>
    <w:p>
      <w:pPr>
        <w:spacing w:after="120" w:line="276"/>
        <w:jc w:val="both"/>
      </w:pPr>
      <w:r>
        <w:rPr>
          <w:rFonts w:ascii="Times New Roman" w:cs="Times New Roman" w:eastAsia="Times New Roman" w:hAnsi="Times New Roman"/>
          <w:b w:val="false"/>
          <w:bCs w:val="false"/>
          <w:i w:val="false"/>
          <w:iCs w:val="false"/>
          <w:caps w:val="false"/>
          <w:sz w:val="24"/>
          <w:szCs w:val="24"/>
        </w:rPr>
        <w:t xml:space="preserve">Date: [____]</w:t>
      </w:r>
    </w:p>
    <w:p>
      <w:pPr>
        <w:pStyle w:val="Heading1"/>
        <w:spacing w:after="160" w:before="260"/>
      </w:pPr>
      <w:r>
        <w:rPr>
          <w:rFonts w:ascii="Times New Roman" w:cs="Times New Roman" w:eastAsia="Times New Roman" w:hAnsi="Times New Roman"/>
          <w:b/>
          <w:bCs/>
          <w:caps/>
          <w:sz w:val="26"/>
          <w:szCs w:val="26"/>
        </w:rPr>
        <w:t xml:space="preserve">List of Annexures</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1 — Tax invoices and proof of payment for the supplies in question.</w:t>
      </w:r>
    </w:p>
    <w:p>
      <w:pPr>
        <w:pStyle w:val="ListParagraph"/>
        <w:numPr>
          <w:ilvl w:val="0"/>
          <w:numId w:val="5"/>
        </w:numPr>
        <w:spacing w:after="140" w:line="276"/>
        <w:jc w:val="both"/>
      </w:pPr>
      <w:r>
        <w:rPr>
          <w:rFonts w:ascii="Times New Roman" w:cs="Times New Roman" w:eastAsia="Times New Roman" w:hAnsi="Times New Roman"/>
          <w:b w:val="false"/>
          <w:bCs w:val="false"/>
          <w:i w:val="false"/>
          <w:iCs w:val="false"/>
          <w:caps w:val="false"/>
          <w:sz w:val="24"/>
          <w:szCs w:val="24"/>
        </w:rPr>
        <w:t xml:space="preserve">Annexure 2 — Copy of the Impugned Notice under Rule 86A.</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60"/>
      </w:pPr>
    </w:lvl>
  </w:abstractNum>
  <w:abstractNum w:abstractNumId="3" w15:restartNumberingAfterBreak="0">
    <w:multiLevelType w:val="hybridMultilevel"/>
    <w:lvl w:ilvl="0" w15:tentative="1">
      <w:start w:val="1"/>
      <w:numFmt w:val="lowerLetter"/>
      <w:lvlText w:val="(%1)"/>
      <w:lvlJc w:val="left"/>
      <w:pPr>
        <w:ind w:left="1080" w:hanging="420"/>
      </w:pPr>
    </w:lvl>
  </w:abstractNum>
  <w:abstractNum w:abstractNumId="4" w15:restartNumberingAfterBreak="0">
    <w:multiLevelType w:val="hybridMultilevel"/>
    <w:lvl w:ilvl="0" w15:tentative="1">
      <w:start w:val="1"/>
      <w:numFmt w:val="lowerLetter"/>
      <w:lvlText w:val="(%1)"/>
      <w:lvlJc w:val="left"/>
      <w:pPr>
        <w:ind w:left="1080" w:hanging="420"/>
      </w:pPr>
    </w:lvl>
  </w:abstractNum>
  <w:abstractNum w:abstractNumId="5" w15:restartNumberingAfterBreak="0">
    <w:multiLevelType w:val="hybridMultilevel"/>
    <w:lvl w:ilvl="0" w15:tentative="1">
      <w:start w:val="1"/>
      <w:numFmt w:val="lowerLetter"/>
      <w:lvlText w:val="(%1)"/>
      <w:lvlJc w:val="left"/>
      <w:pPr>
        <w:ind w:left="1080" w:hanging="420"/>
      </w:pPr>
    </w:lvl>
  </w:abstractNum>
  <w:abstractNum w:abstractNumId="6" w15:restartNumberingAfterBreak="0">
    <w:multiLevelType w:val="hybridMultilevel"/>
    <w:lvl w:ilvl="0" w15:tentative="1">
      <w:start w:val="1"/>
      <w:numFmt w:val="decimal"/>
      <w:lvlText w:val="%1."/>
      <w:lvlJc w:val="left"/>
      <w:pPr>
        <w:ind w:left="600" w:hanging="360"/>
      </w:pPr>
    </w:lvl>
  </w:abstractNum>
  <w:abstractNum w:abstractNumId="7" w15:restartNumberingAfterBreak="0">
    <w:multiLevelType w:val="hybridMultilevel"/>
    <w:lvl w:ilvl="0" w15:tentative="1">
      <w:start w:val="1"/>
      <w:numFmt w:val="decimal"/>
      <w:lvlText w:val="%1."/>
      <w:lvlJc w:val="left"/>
      <w:pPr>
        <w:ind w:left="600" w:hanging="360"/>
      </w:pPr>
    </w:lvl>
  </w:abstractNum>
  <w:abstractNum w:abstractNumId="8" w15:restartNumberingAfterBreak="0">
    <w:multiLevelType w:val="hybridMultilevel"/>
    <w:lvl w:ilvl="0" w15:tentative="1">
      <w:start w:val="1"/>
      <w:numFmt w:val="decimal"/>
      <w:lvlText w:val="%1."/>
      <w:lvlJc w:val="left"/>
      <w:pPr>
        <w:ind w:left="600" w:hanging="360"/>
      </w:pPr>
    </w:lvl>
  </w:abstractNum>
  <w:abstractNum w:abstractNumId="9"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6"/>
    <w:lvlOverride w:ilvl="0">
      <w:startOverride w:val="1"/>
    </w:lvlOverride>
  </w:num>
  <w:num w:numId="4">
    <w:abstractNumId w:val="7"/>
    <w:lvlOverride w:ilvl="0">
      <w:startOverride w:val="1"/>
    </w:lvlOverride>
  </w:num>
  <w:num w:numId="5">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60"/>
      <w:outlineLvl w:val="0"/>
    </w:pPr>
    <w:rPr>
      <w:rFonts w:ascii="Times New Roman" w:cs="Times New Roman" w:eastAsia="Times New Roman" w:hAnsi="Times New Roman"/>
      <w:b/>
      <w:bCs/>
      <w:sz w:val="26"/>
      <w:szCs w:val="26"/>
    </w:rPr>
  </w:style>
  <w:style w:type="paragraph" w:styleId="Heading2">
    <w:name w:val="Heading 2"/>
    <w:basedOn w:val="Normal"/>
    <w:next w:val="Normal"/>
    <w:qFormat/>
    <w:pPr>
      <w:spacing w:after="140" w:before="20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2026-06-13T08:28:08.926Z</dcterms:created>
  <dcterms:modified xsi:type="dcterms:W3CDTF">2026-06-13T08:28:08.926Z</dcterms:modified>
</cp:coreProperties>
</file>

<file path=docProps/custom.xml><?xml version="1.0" encoding="utf-8"?>
<Properties xmlns="http://schemas.openxmlformats.org/officeDocument/2006/custom-properties" xmlns:vt="http://schemas.openxmlformats.org/officeDocument/2006/docPropsVTypes"/>
</file>