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deficiency memo / Show Cause Notice in Form GST RFD-03 proposing rejection of the Company's refund of the amount lying in its electronic cash ledger, the amount being tax collected at source by the e-commerce operator under Section 52 and credited to the ledger, and being fully refundable as a balance in the cash ledger under Section 54 — RFD-03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Refund application in Form GST RFD-01 under Section 54, ARN [____] dated [____]; deficiency memo / SCN in Form GST RFD-03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provision is marked [VERIFY] for a final check before filing. The facts (a refund of TCS collected by the e-commerce operator under Section 52 and lying in the electronic cash ledger; an RFD-03 proposing rejection on the ground that a cash-ledger refund of third-party-deposited TCS is not allowed) and the source's reliance on Sections 2(43) and 49(1) are reproduced.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applied under Section 54 for refund of Rs. [____] lying as a balance in its electronic cash ledger. That balance arose from </w:t>
      </w:r>
      <w:r>
        <w:rPr>
          <w:rFonts w:ascii="Times New Roman" w:cs="Times New Roman" w:eastAsia="Times New Roman" w:hAnsi="Times New Roman"/>
          <w:b/>
          <w:bCs/>
          <w:i w:val="false"/>
          <w:iCs w:val="false"/>
          <w:caps w:val="false"/>
          <w:sz w:val="24"/>
          <w:szCs w:val="24"/>
        </w:rPr>
        <w:t xml:space="preserve">tax collected at source by the e-commerce operator under Section 52</w:t>
      </w:r>
      <w:r>
        <w:rPr>
          <w:rFonts w:ascii="Times New Roman" w:cs="Times New Roman" w:eastAsia="Times New Roman" w:hAnsi="Times New Roman"/>
          <w:b w:val="false"/>
          <w:bCs w:val="false"/>
          <w:i w:val="false"/>
          <w:iCs w:val="false"/>
          <w:caps w:val="false"/>
          <w:sz w:val="24"/>
          <w:szCs w:val="24"/>
        </w:rPr>
        <w:t xml:space="preserve">, on the supplies the Company made through the operator's platform, and credited to the Company's electronic cash ledger as the law provides. The deficiency memo / RFD-03 proposes rejection on the footing that a cash-ledger refund is not available where the amount was deposited by a third party (the operator). That objection is misconceived. Once the TCS is credited to the Company's electronic cash ledger, it is, in law, the Company's money — a balance in its cash ledger — which Section 49(6) read with Section 54 expressly makes refundable. The source of the credit (the operator's collection under Section 52) does not alter its character once it reaches the ledger. The refund ought to be sanctioned.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makes taxable supplies through the e-commerce platform of [Amazon / operator], which collects tax at source under Section 52.</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TCS credited to the cash ledger. </w:t>
      </w:r>
      <w:r>
        <w:rPr>
          <w:rFonts w:ascii="Times New Roman" w:cs="Times New Roman" w:eastAsia="Times New Roman" w:hAnsi="Times New Roman"/>
          <w:b w:val="false"/>
          <w:bCs w:val="false"/>
          <w:i w:val="false"/>
          <w:iCs w:val="false"/>
          <w:caps w:val="false"/>
          <w:sz w:val="24"/>
          <w:szCs w:val="24"/>
        </w:rPr>
        <w:t xml:space="preserve">The operator collected TCS on the Company's supplies and deposited it; on the filing of the operator's statement, the TCS of Rs. [____] was credited to the Company's electronic cash ledger (as TCS credit), where it lies as a balance.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refund application and the RFD-03. </w:t>
      </w:r>
      <w:r>
        <w:rPr>
          <w:rFonts w:ascii="Times New Roman" w:cs="Times New Roman" w:eastAsia="Times New Roman" w:hAnsi="Times New Roman"/>
          <w:b w:val="false"/>
          <w:bCs w:val="false"/>
          <w:i w:val="false"/>
          <w:iCs w:val="false"/>
          <w:caps w:val="false"/>
          <w:sz w:val="24"/>
          <w:szCs w:val="24"/>
        </w:rPr>
        <w:t xml:space="preserve">The Company applied under Section 54 in Form GST RFD-01 for refund of the said balance in the cash ledger. The Department issued a deficiency memo / SCN in Form GST RFD-03 proposing rejection on the ground that a cash-ledger refund is not allowed where the amount was deposited by a third party (the operator) as TCS.</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TCS credited to the cash ledger is the Company's money — refundable under Section 49(6) read with Section 54</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52(5) requires the operator to deposit the TCS, and the amount so collected is credited to the electronic cash ledger of the supplier on whose supplies it was collected (Section 52(7)). The ‘electronic cash ledger’ (Section 2(43) read with Section 49(1)) holds amounts to the credit of the registered person available for payment of tax, interest, etc. Section 49(6) provides that the balance in the electronic cash ledger after payment of tax, interest, penalty, fee or any other amount payable may be </w:t>
      </w:r>
      <w:r>
        <w:rPr>
          <w:rFonts w:ascii="Times New Roman" w:cs="Times New Roman" w:eastAsia="Times New Roman" w:hAnsi="Times New Roman"/>
          <w:b w:val="false"/>
          <w:bCs w:val="false"/>
          <w:i/>
          <w:iCs/>
          <w:caps w:val="false"/>
          <w:sz w:val="24"/>
          <w:szCs w:val="24"/>
        </w:rPr>
        <w:t xml:space="preserve">refunded in accordance with Section 54</w:t>
      </w:r>
      <w:r>
        <w:rPr>
          <w:rFonts w:ascii="Times New Roman" w:cs="Times New Roman" w:eastAsia="Times New Roman" w:hAnsi="Times New Roman"/>
          <w:b w:val="false"/>
          <w:bCs w:val="false"/>
          <w:i w:val="false"/>
          <w:iCs w:val="false"/>
          <w:caps w:val="false"/>
          <w:sz w:val="24"/>
          <w:szCs w:val="24"/>
        </w:rPr>
        <w:t xml:space="preserve">. The TCS credited to the Company's cash ledger is therefore the Company's own money, and any unutilised balance is squarely refundable. This is borne out by </w:t>
      </w:r>
      <w:r>
        <w:rPr>
          <w:rFonts w:ascii="Times New Roman" w:cs="Times New Roman" w:eastAsia="Times New Roman" w:hAnsi="Times New Roman"/>
          <w:b w:val="false"/>
          <w:bCs w:val="false"/>
          <w:i/>
          <w:iCs/>
          <w:caps w:val="false"/>
          <w:sz w:val="24"/>
          <w:szCs w:val="24"/>
        </w:rPr>
        <w:t xml:space="preserve">Appario Retail Pvt. Ltd. v. Union of India</w:t>
      </w:r>
      <w:r>
        <w:rPr>
          <w:rFonts w:ascii="Times New Roman" w:cs="Times New Roman" w:eastAsia="Times New Roman" w:hAnsi="Times New Roman"/>
          <w:b w:val="false"/>
          <w:bCs w:val="false"/>
          <w:i w:val="false"/>
          <w:iCs w:val="false"/>
          <w:caps w:val="false"/>
          <w:sz w:val="24"/>
          <w:szCs w:val="24"/>
        </w:rPr>
        <w:t xml:space="preserve">, Telangana HC, 2021 (11) TMI 153 (W.P. No. 12183 of 2021), holding that the excess balance in the electronic cash ledger arising from Section 52 TCS is the supplier's money, refundable under Section 49(6) read with the proviso to Section 54(1); and by the Board's Circular No. 166/22/2021-GST dated 17.11.2021, clarifying that refund of an excess balance in the electronic cash ledger (including amounts deposited as TDS / TCS under Sections 51 / 52) is not subject to the Section 54(1) time limit and does not attract the bar of unjust enrichment. There is no provision making a cash-ledger balance non-refundable by reason of its having originated in a Section 52 collection.</w:t>
      </w:r>
    </w:p>
    <w:p>
      <w:pPr>
        <w:pStyle w:val="Heading2"/>
        <w:spacing w:after="140" w:before="200"/>
      </w:pPr>
      <w:r>
        <w:rPr>
          <w:rFonts w:ascii="Times New Roman" w:cs="Times New Roman" w:eastAsia="Times New Roman" w:hAnsi="Times New Roman"/>
          <w:b/>
          <w:bCs/>
          <w:sz w:val="24"/>
          <w:szCs w:val="24"/>
        </w:rPr>
        <w:t xml:space="preserve">Ground 2: The ground of rejection has no basis in the Act or the Rules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Neither Section 54 nor Rule 89 excludes from refund a cash-ledger balance that arose from TCS; on the contrary, the TCS mechanism contemplates that the credit be available to the supplier for use or refund. The objection that a ‘third party’ deposited the amount conflates the mechanism of collection with the ownership of the credit: once credited to the Company's ledger under Section 52(7), the amount is the Company's, not the operator's. The proposed rejection rests on a non-existent bar.</w:t>
      </w:r>
    </w:p>
    <w:p>
      <w:pPr>
        <w:pStyle w:val="Heading2"/>
        <w:spacing w:after="140" w:before="200"/>
      </w:pPr>
      <w:r>
        <w:rPr>
          <w:rFonts w:ascii="Times New Roman" w:cs="Times New Roman" w:eastAsia="Times New Roman" w:hAnsi="Times New Roman"/>
          <w:b/>
          <w:bCs/>
          <w:sz w:val="24"/>
          <w:szCs w:val="24"/>
        </w:rPr>
        <w:t xml:space="preserve">Ground 3: A hearing and a reasoned order are required before any rejection — Section 54 / Rule 92(3)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refund claim cannot be rejected without a notice in Form GST RFD-08, an opportunity to reply in Form GST RFD-09, and a reasoned order in Form GST RFD-06 after hearing (Rule 92(3); Circular No. 125/44/2019-GST dated 18.11.2019). The Company replies herewith and seeks a personal hearing before any adverse order. The refund, being of the Company's own cash-ledger balance, ought to be sanctioned with interest under Section 56 for delay.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TCS credited to the Company's electronic cash ledger is the Company's money and that the balance is refundable under Section 49(6) read with Section 54;</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SANCTION the refund of Rs. [____] with interest under Section 56, and DROP the proposed rejection, which rests on a non-existent bar;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2(43), 49(1), 49(6), 52 (including sub-sections (5) and (7)), 54 and 56 of the CGST Act, 2017; Rules 89 and 92(3) of the CGST Rules, 2017 (Forms GST RFD-01, RFD-03, RFD-06, RFD-08, RFD-09).</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125/44/2019-GST dated 18.11.2019 (refund procedure; hearing before rejection); Circular No. 166/22/2021-GST dated 17.11.2021 (refund of excess cash-ledger balance, including TDS / TCS; no Section 54(1) time bar; no unjust enrichment); Appario Retail Pvt. Ltd. v. Union of India, Telangana HC, 2021 (11) TMI 153 (W.P. No. 12183 of 2021).</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Electronic cash ledger extract showing the TCS credit and the balance claimed.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The operator's TCS statement / certificate (Form GSTR-8) and reconciliation.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The refund application (RFD-01) with ARN and the deficiency memo / RFD-03.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2026-06-13T08:26:25.575Z</dcterms:created>
  <dcterms:modified xsi:type="dcterms:W3CDTF">2026-06-13T08:26:25.575Z</dcterms:modified>
</cp:coreProperties>
</file>

<file path=docProps/custom.xml><?xml version="1.0" encoding="utf-8"?>
<Properties xmlns="http://schemas.openxmlformats.org/officeDocument/2006/custom-properties" xmlns:vt="http://schemas.openxmlformats.org/officeDocument/2006/docPropsVTypes"/>
</file>