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in Form GST REG-17 proposing cancellation of registration under Section 29(2)(c) for non-filing of returns for a continuous period of six months, and request to drop the proceeding on regularisation —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in Form GST REG-17, Reference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Authorities are marked [VERIFY] for a final check before filing. The ground (non-filing for a continuous period of six months under Section 29(2)(c)) and the stated cause (closure during the COVID-19 period; belief that nil returns need not be filed)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in Form GST REG-17 proposes cancellation of the Company’s registration under Section 29(2)(c) for non-filing of returns for a continuous period of six months. The Company seeks to have the proceeding dropped on regularisation. The non-filing arose from the closure of business during the COVID-19 period and a bona fide (if mistaken) belief that nil returns need not be filed; the Company has since resumed business and undertakes to file all pending returns with applicable tax, interest and late fee within a short time. Cancellation is a drastic measure that ought not to follow where the default is being cured, the statute itself providing for dropping the proceeding on the filing of all pending returns.</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 carries on the business of trading in readymade garments (principal HSN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notice. </w:t>
      </w:r>
      <w:r>
        <w:rPr>
          <w:rFonts w:ascii="Times New Roman" w:cs="Times New Roman" w:eastAsia="Times New Roman" w:hAnsi="Times New Roman"/>
          <w:b w:val="false"/>
          <w:bCs w:val="false"/>
          <w:i w:val="false"/>
          <w:iCs w:val="false"/>
          <w:caps w:val="false"/>
          <w:sz w:val="24"/>
          <w:szCs w:val="24"/>
        </w:rPr>
        <w:t xml:space="preserve">The Company received the Impugned SCN in Form GST REG-17 proposing suspension / cancellation under Section 29(2)(c) read with Rule 22, for non-filing of returns for a continuous period of six months.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cause. </w:t>
      </w:r>
      <w:r>
        <w:rPr>
          <w:rFonts w:ascii="Times New Roman" w:cs="Times New Roman" w:eastAsia="Times New Roman" w:hAnsi="Times New Roman"/>
          <w:b w:val="false"/>
          <w:bCs w:val="false"/>
          <w:i w:val="false"/>
          <w:iCs w:val="false"/>
          <w:caps w:val="false"/>
          <w:sz w:val="24"/>
          <w:szCs w:val="24"/>
        </w:rPr>
        <w:t xml:space="preserve">The business was closed during the COVID-19 lockdown and its aftermath; there was no supply and no purchase in the relevant period (nil activity). The Company was under a bona fide belief that, with no supply, returns need not be filed.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Readiness to regularise. </w:t>
      </w:r>
      <w:r>
        <w:rPr>
          <w:rFonts w:ascii="Times New Roman" w:cs="Times New Roman" w:eastAsia="Times New Roman" w:hAnsi="Times New Roman"/>
          <w:b w:val="false"/>
          <w:bCs w:val="false"/>
          <w:i w:val="false"/>
          <w:iCs w:val="false"/>
          <w:caps w:val="false"/>
          <w:sz w:val="24"/>
          <w:szCs w:val="24"/>
        </w:rPr>
        <w:t xml:space="preserve">The Company has resumed normal business and undertakes to file all pending returns within [seven] days of this reply, with applicable tax, interest and late fee, and to place copies on record.</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default is being cured; the statute provides for dropping the proceeding on filing of pending returns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Where a registration is proposed to be cancelled for non-filing under Section 29(2)(c), and the registered person furnishes all the pending returns and pays the tax due with interest and late fee, the proper officer is empowered to drop the cancellation proceeding (the proviso to Rule 22(4), read with Form GST REG-20). The Company falls squarely within this remedial path and undertakes to file the pending returns forthwith.</w:t>
      </w:r>
    </w:p>
    <w:p>
      <w:pPr>
        <w:pStyle w:val="Heading2"/>
        <w:spacing w:after="140" w:before="200"/>
      </w:pPr>
      <w:r>
        <w:rPr>
          <w:rFonts w:ascii="Times New Roman" w:cs="Times New Roman" w:eastAsia="Times New Roman" w:hAnsi="Times New Roman"/>
          <w:b/>
          <w:bCs/>
          <w:sz w:val="24"/>
          <w:szCs w:val="24"/>
        </w:rPr>
        <w:t xml:space="preserve">Ground 2: Cancellation is a drastic measure and ought not to follow a curable, bona fide default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Cancellation of registration carries serious civil consequences — it disables the person from carrying on business in a regime where registration is the gateway to trade. Such a measure is disproportionate where the default is a bona fide one occasioned by the pandemic and is being cured. The discretion under Section 29(2) (the provision being couched in terms of ‘may’) ought to be exercised to preserve, not destroy, a compliant-on-resumption registration.</w:t>
      </w:r>
    </w:p>
    <w:p>
      <w:pPr>
        <w:spacing w:after="120" w:before="120"/>
        <w:jc w:val="both"/>
      </w:pPr>
      <w:r>
        <w:rPr>
          <w:rFonts w:ascii="Times New Roman" w:cs="Times New Roman" w:eastAsia="Times New Roman" w:hAnsi="Times New Roman"/>
          <w:b/>
          <w:bCs/>
          <w:i/>
          <w:iCs/>
          <w:sz w:val="20"/>
          <w:szCs w:val="20"/>
        </w:rPr>
        <w:t xml:space="preserve">Authority: </w:t>
      </w:r>
      <w:r>
        <w:rPr>
          <w:rFonts w:ascii="Times New Roman" w:cs="Times New Roman" w:eastAsia="Times New Roman" w:hAnsi="Times New Roman"/>
          <w:i/>
          <w:iCs/>
          <w:sz w:val="20"/>
          <w:szCs w:val="20"/>
        </w:rPr>
        <w:t xml:space="preserve">Cancellation of registration is a drastic measure carrying serious civil consequences and cannot be ordered mechanically or by a non-speaking order: see Aggarwal Dyeing &amp; Printing Works v. State of Gujarat, Gujarat HC, R/SCA No. 18860 of 2021, dated 24.02.2022 [VERIFY], and G.B. Traders v. Union of India, Bombay HC, Writ Petition No. 8990 of 2025, dated 01.04.2026 [VERIFY] (cancellation passed mechanically and without application of mind set aside; restoration directed). The Company also relies on the line of High Court authority restoring registrations cancelled for non-filing where the pending returns are filed and dues cleared. [VERIFY for jurisdictional High Court authority]</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proceeding for cancellation in Form GST REG-17, the Company undertaking to file all pending returns with tax, interest and late fee within [seven] days;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cancellation is disproportionate where a bona fide default is being cured;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RESTORE / continue the registration on the filing of the pending returns;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29(2)(c), 39, 47 of the CGST Act, 2017; Rule 22 (including the proviso to sub-rule (4)) of the CGST Rules, 2017 (Forms GST REG-17, REG-18, REG-20).</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Aggarwal Dyeing &amp; Printing Works v. State of Gujarat, Gujarat HC, R/SCA No. 18860 of 2021, dated 24.02.2022; and G.B. Traders v. Union of India, Bombay HC, Writ Petition No. 8990 of 2025, dated 01.04.2026 — cancellation is a drastic measure requiring a reasoned order; restoration on regularisation.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Copy of the Impugned SCN in Form GST REG-17.</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Pending returns filed / to be filed, with proof of payment of tax, interest and late fee.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2026-06-13T08:26:20.841Z</dcterms:created>
  <dcterms:modified xsi:type="dcterms:W3CDTF">2026-06-13T08:26:20.841Z</dcterms:modified>
</cp:coreProperties>
</file>

<file path=docProps/custom.xml><?xml version="1.0" encoding="utf-8"?>
<Properties xmlns="http://schemas.openxmlformats.org/officeDocument/2006/custom-properties" xmlns:vt="http://schemas.openxmlformats.org/officeDocument/2006/docPropsVTypes"/>
</file>