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proposing suspension / cancellation of registration on the allegation that business is not conducted from the declared place of business (Rule 21), with documentary proof of the bona fide change of place of business —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Reference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Authorities are marked [VERIFY] for a final check before filing. The allegation (business not conducted from the declared place of business, Rule 21) is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proposes suspension / cancellation of registration under Rule 21 on the allegation that the Company does not conduct business from its declared place of business. The allegation is factually incorrect: the Company has shifted its place of business and the change is within the time limit for the amendment of registration, the application for amendment having been made / being made in accordance with Rule 19. A verification visit that found the old premises vacant cannot, by itself, sustain cancellation where the business subsists at the amended address. Cancellation is, in any event, a drastic measure disproportionate to a bona fide change of premises.</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registered with effect from 1 July 2017, carries on the business of trading in readymade garments (principal HSN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The Company received the Impugned SCN proposing suspension / cancellation on the footing that business is not conducted from the declared place of business, invoking Rule 21.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true position. </w:t>
      </w:r>
      <w:r>
        <w:rPr>
          <w:rFonts w:ascii="Times New Roman" w:cs="Times New Roman" w:eastAsia="Times New Roman" w:hAnsi="Times New Roman"/>
          <w:b w:val="false"/>
          <w:bCs w:val="false"/>
          <w:i w:val="false"/>
          <w:iCs w:val="false"/>
          <w:caps w:val="false"/>
          <w:sz w:val="24"/>
          <w:szCs w:val="24"/>
        </w:rPr>
        <w:t xml:space="preserve">The Company has shifted its place of business to [new address] and has applied / is applying for amendment of its registration within the prescribed time under Rule 19. The business subsists and is carried on from the amended premises; supporting documents (the new rent agreement / ownership proof, utility bills and the amendment application) are annexed.</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allegation is factually wrong — the business subsists at the amended place of business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21 permits cancellation where the registered person does not conduct any business from the declared place of business. Here the Company does conduct its business — from its amended place of business — and has moved to regularise the change by an amendment application under Rule 19 within time. A finding founded on a visit to the former premises does not establish that no business is carried on; the documentary proof at Annexure establishes that it is.</w:t>
      </w:r>
    </w:p>
    <w:p>
      <w:pPr>
        <w:pStyle w:val="Heading2"/>
        <w:spacing w:after="140" w:before="200"/>
      </w:pPr>
      <w:r>
        <w:rPr>
          <w:rFonts w:ascii="Times New Roman" w:cs="Times New Roman" w:eastAsia="Times New Roman" w:hAnsi="Times New Roman"/>
          <w:b/>
          <w:bCs/>
          <w:sz w:val="24"/>
          <w:szCs w:val="24"/>
        </w:rPr>
        <w:t xml:space="preserve">Ground 2: A bona fide change of premises, regularised by amendment, is not a ground for cancellation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shifting of business premises is a normal commercial event. Where it is regularised by a timely amendment under Rule 19, it does not attract cancellation under Rule 21. To cancel on this footing would be to penalise a bona fide change of address rather than any contravention; that is impermissible and disproportionate.</w:t>
      </w:r>
    </w:p>
    <w:p>
      <w:pPr>
        <w:pStyle w:val="Heading2"/>
        <w:spacing w:after="140" w:before="200"/>
      </w:pPr>
      <w:r>
        <w:rPr>
          <w:rFonts w:ascii="Times New Roman" w:cs="Times New Roman" w:eastAsia="Times New Roman" w:hAnsi="Times New Roman"/>
          <w:b/>
          <w:bCs/>
          <w:sz w:val="24"/>
          <w:szCs w:val="24"/>
        </w:rPr>
        <w:t xml:space="preserve">Ground 3: Cancellation is a drastic measure; an opportunity and a reasoned order are required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Cancellation of registration carries serious civil consequences and is a drastic measure; it must rest on objective satisfaction and a reasoned order after a real opportunity of hearing. Reliance is placed on Aggarwal Dyeing &amp; Printing Works v. State of Gujarat, Gujarat HC, R/SCA No. 18860 of 2021, dated 24.02.2022 [VERIFY], and G.B. Traders v. Union of India, Bombay HC, Writ Petition No. 8990 of 2025, dated 01.04.2026 [VERIFY], holding that a mechanical or non-speaking cancellation is liable to be set aside. The Company seeks an opportunity to demonstrate, including by a fresh verification at the amended premises, that the business subsists, before any adverse order is passed.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for suspension / cancellation, the business subsisting at the amended place of business;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TAKE on record the amendment of registration reflecting the new place of business;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CAUSE, if necessary, a fresh verification at the amended premises before any adverse order;</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hearing through the Authorised Representative;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25, 28, 29(2) of the CGST Act, 2017; Rules 19 and 21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Aggarwal Dyeing &amp; Printing Works v. State of Gujarat, Gujarat HC, R/SCA No. 18860 of 2021, dated 24.02.2022; and G.B. Traders v. Union of India, Bombay HC, Writ Petition No. 8990 of 2025, dated 01.04.2026 — cancellation is a drastic measure requiring objective satisfaction and a reasoned order.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Impugned SCN.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Proof of the amended place of business (rent agreement / ownership proof; utility bills) and the amendment application under Rule 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2026-06-13T08:26:20.915Z</dcterms:created>
  <dcterms:modified xsi:type="dcterms:W3CDTF">2026-06-13T08:26:20.915Z</dcterms:modified>
</cp:coreProperties>
</file>

<file path=docProps/custom.xml><?xml version="1.0" encoding="utf-8"?>
<Properties xmlns="http://schemas.openxmlformats.org/officeDocument/2006/custom-properties" xmlns:vt="http://schemas.openxmlformats.org/officeDocument/2006/docPropsVTypes"/>
</file>