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in FORM GST ASMT-11 to the notice in FORM GST ASMT-10 for FY 2017-18 and FY 2018-19 — alleged turnover mismatch with GSTR-9 / GSTR-9C.</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Jaipur, Rajasthan) to be reconciled. Turnover figures in the month-wise table are to be completed from the GSTR-1 / GSTR-3B record before filing.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alleges a turnover mismatch between the GSTR-9 / GSTR-9C and the GSTR-1 / GSTR-3B for FY 2017-18 and FY 2018-19. The short answer is that the registered person was not required to file the GSTR-9 or the GSTR-9C for those years, its aggregate turnover being below the thresholds notified by the CBIC. An allegation of mismatch with returns that the law did not require to be filed is misconceived and the proceedings ought to be dropped.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notice in FORM GST ASMT-10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raising a discrepancy in respect of the returns for FY 2017-18 and FY 2018-19 and seeking an explanation. The discrepancy alleged is a mismatch of turnover between the annual return / reconciliation statement (GSTR-9 / GSTR-9C) and the GSTR-1 / GSTR-3B.</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aggregate turnover of the registered person for the relevant financial years, as reflected in the GSTR-1 / GSTR-3B, is set out below (to be completed from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Period</w:t>
            </w:r>
          </w:p>
        </w:tc>
        <w:tc>
          <w:tcPr>
            <w:tcW w:type="dxa" w:w="348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GSTR-1 Turnover</w:t>
            </w:r>
          </w:p>
        </w:tc>
        <w:tc>
          <w:tcPr>
            <w:tcW w:type="dxa" w:w="348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GSTR-3B Turnover</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FY 2017-18</w:t>
            </w:r>
          </w:p>
        </w:tc>
        <w:tc>
          <w:tcPr>
            <w:tcW w:type="dxa" w:w="348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48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FY 2018-19</w:t>
            </w:r>
          </w:p>
        </w:tc>
        <w:tc>
          <w:tcPr>
            <w:tcW w:type="dxa" w:w="348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48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THE REGISTERED PERSON WAS NOT REQUIRED TO FILE GSTR-9 / GSTR-9C FOR THE RELEVANT YEARS</w:t>
      </w:r>
    </w:p>
    <w:p>
      <w:pPr>
        <w:spacing w:after="140" w:line="276"/>
        <w:ind w:left="720"/>
        <w:jc w:val="both"/>
      </w:pPr>
      <w:r>
        <w:rPr>
          <w:rFonts w:ascii="Times New Roman" w:cs="Times New Roman" w:eastAsia="Times New Roman" w:hAnsi="Times New Roman"/>
          <w:b/>
          <w:bCs/>
          <w:i/>
          <w:iCs/>
          <w:sz w:val="24"/>
          <w:szCs w:val="24"/>
        </w:rPr>
        <w:t xml:space="preserve">(a) The annual return (GSTR-9). </w:t>
      </w:r>
      <w:r>
        <w:rPr>
          <w:rFonts w:ascii="Times New Roman" w:cs="Times New Roman" w:eastAsia="Times New Roman" w:hAnsi="Times New Roman"/>
          <w:sz w:val="24"/>
          <w:szCs w:val="24"/>
        </w:rPr>
        <w:t xml:space="preserve">By Notification No. 47/2019-Central Tax dated 9 October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filing of the annual return in FORM GSTR-9 was made optional for registered persons whose aggregate turnover in a financial year did not exceed Rs. 2 crore, for FY 2017-18 and FY 2018-19. The registered person’s aggregate turnover for those years did not exceed Rs. 2 crore; the GSTR-9 was therefore not required to be filed.</w:t>
      </w:r>
    </w:p>
    <w:p>
      <w:pPr>
        <w:spacing w:after="140" w:line="276"/>
        <w:ind w:left="720"/>
        <w:jc w:val="both"/>
      </w:pPr>
      <w:r>
        <w:rPr>
          <w:rFonts w:ascii="Times New Roman" w:cs="Times New Roman" w:eastAsia="Times New Roman" w:hAnsi="Times New Roman"/>
          <w:b/>
          <w:bCs/>
          <w:i/>
          <w:iCs/>
          <w:sz w:val="24"/>
          <w:szCs w:val="24"/>
        </w:rPr>
        <w:t xml:space="preserve">(b) The reconciliation statement (GSTR-9C). </w:t>
      </w:r>
      <w:r>
        <w:rPr>
          <w:rFonts w:ascii="Times New Roman" w:cs="Times New Roman" w:eastAsia="Times New Roman" w:hAnsi="Times New Roman"/>
          <w:sz w:val="24"/>
          <w:szCs w:val="24"/>
        </w:rPr>
        <w:t xml:space="preserve">Under Rule 80(3) of the CGST Rules, the self-certified reconciliation statement in FORM GSTR-9C is required only where the aggregate turnover during the financial year exceeds Rs. 5 crore</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registered person’s turnover being well below that threshold, the GSTR-9C was not required either.</w:t>
      </w:r>
    </w:p>
    <w:p>
      <w:pPr>
        <w:spacing w:after="140" w:line="276"/>
        <w:ind w:left="720"/>
        <w:jc w:val="both"/>
      </w:pPr>
      <w:r>
        <w:rPr>
          <w:rFonts w:ascii="Times New Roman" w:cs="Times New Roman" w:eastAsia="Times New Roman" w:hAnsi="Times New Roman"/>
          <w:b/>
          <w:bCs/>
          <w:i/>
          <w:iCs/>
          <w:sz w:val="24"/>
          <w:szCs w:val="24"/>
        </w:rPr>
        <w:t xml:space="preserve">(c) Application and conclusion. </w:t>
      </w:r>
      <w:r>
        <w:rPr>
          <w:rFonts w:ascii="Times New Roman" w:cs="Times New Roman" w:eastAsia="Times New Roman" w:hAnsi="Times New Roman"/>
          <w:sz w:val="24"/>
          <w:szCs w:val="24"/>
        </w:rPr>
        <w:t xml:space="preserve">Since neither the GSTR-9 nor the GSTR-9C was required to be filed, there can be no mismatch between those documents and the GSTR-1 / GSTR-3B. The premise of the discrepancy is therefore factually and legally untenable, and the explanation under FORM GST ASMT-11 ought to be accepted and the proceedings concluded in FORM GST ASMT-12.</w:t>
      </w:r>
    </w:p>
    <w:p>
      <w:pPr>
        <w:pStyle w:val="Heading2"/>
        <w:spacing w:after="120" w:before="200"/>
      </w:pPr>
      <w:r>
        <w:rPr>
          <w:rFonts w:ascii="Times New Roman" w:cs="Times New Roman" w:eastAsia="Times New Roman" w:hAnsi="Times New Roman"/>
          <w:b/>
          <w:bCs/>
          <w:sz w:val="24"/>
          <w:szCs w:val="24"/>
        </w:rPr>
        <w:t xml:space="preserve">SUBMISSION 2 (WITHOUT PREJUDICE): RECONCILIATION OF GSTR-1 AND GSTR-3B</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Without prejudice, to the extent any discrepancy is alleged between the GSTR-1 and the GSTR-3B, the registered person undertakes to reconcile the same from its books; minor timing differences in the reporting of supplies between the two returns are explicable and do not represent any short payment of tax. The registered person reserves the right to furnish a detailed reconciliation on being told the precise figures relied upon.</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explanation be accepted, the discrepancy dropped, and the proceedings concluded by an intimation in FORM GST ASMT-12; and that a personal hearing be granted before any order under Section 73 / 74 is contemplated.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2026-06-13T08:13:08.591Z</dcterms:created>
  <dcterms:modified xsi:type="dcterms:W3CDTF">2026-06-13T08:13:08.591Z</dcterms:modified>
</cp:coreProperties>
</file>

<file path=docProps/custom.xml><?xml version="1.0" encoding="utf-8"?>
<Properties xmlns="http://schemas.openxmlformats.org/officeDocument/2006/custom-properties" xmlns:vt="http://schemas.openxmlformats.org/officeDocument/2006/docPropsVTypes"/>
</file>