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Request for removal / lifting of the attachment of the bank account, an appeal having been filed under Section 107 with the pre-deposit of 10% of the disputed tax.</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Reproduced extracts of cited orders have been condensed to their operative holding to keep the representation concise.</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Pursuant to a demand confirmed in FORM GST DRC-07, the registered person’s bank account has been attached. The registered person has, however, filed an appeal under Section 107 against the DRC-07 and has paid the pre-deposit of 10% of the disputed tax under Section 107(6). By force of Section 107(7), recovery of the balance is deemed to be stayed; the attachment cannot therefore be sustained and is liable to be lifted forthwith.</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A show cause notice in FORM GST DRC-01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was issued; the registered person replied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denying the allegation. After hearing, a demand was confirmed in FORM GST DRC-07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(tax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interest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penalty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person’s bank account (Bank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A/c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was attached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vide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against the demand under the DRC-07.</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has filed an appeal against the DRC-07 in FORM GST APL-01 before the Appellate Authority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together with the pre-deposit of 10% of the disputed tax under Section 107(6); a copy of the appeal and the pre-deposit challan is enclosed.</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Under Section 107(6), an appeal is maintainable on payment of the admitted amount in full and 10% of the remaining tax in dispute (the monetary ceiling on the pre-deposit standing revised by the Finance (No. 2) Act, 2024, and a pre-deposit of 10% of the penalty applying in penalty-only matters from 1 April 2025). Under Section 107(7), where such pre-deposit is made, recovery proceedings for the balance amount “shall be deemed to be stayed.” The attachment of the bank account, being a recovery measure in respect of the balance, cannot continue once the pre-deposit has been made and the appeal filed.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settled that the statutory stay under Section 107(7) operates automatically on the making of the pre-deposit, and an attachment effected or continued thereafter is contrary to the statute. Reliance is placed on </w:t>
      </w:r>
      <w:r>
        <w:rPr>
          <w:rFonts w:ascii="Times New Roman" w:cs="Times New Roman" w:eastAsia="Times New Roman" w:hAnsi="Times New Roman"/>
          <w:i/>
          <w:iCs/>
          <w:sz w:val="24"/>
          <w:szCs w:val="24"/>
        </w:rPr>
        <w:t xml:space="preserve">Tvl. Maxtile AAC Block v. State Tax Officer</w:t>
      </w:r>
      <w:r>
        <w:rPr>
          <w:rFonts w:ascii="Times New Roman" w:cs="Times New Roman" w:eastAsia="Times New Roman" w:hAnsi="Times New Roman"/>
          <w:sz w:val="24"/>
          <w:szCs w:val="24"/>
        </w:rPr>
        <w:t xml:space="preserve">, Madras High Court, W.P. No. 10670 of 2024, dated 23 April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where, the 10% pre-deposit having been made, an attachment effected without awaiting the statutory period was held contrary to Section 107(7) and ordered to be released, with the encumbrance entry deleted. The same principle is reflected in </w:t>
      </w:r>
      <w:r>
        <w:rPr>
          <w:rFonts w:ascii="Times New Roman" w:cs="Times New Roman" w:eastAsia="Times New Roman" w:hAnsi="Times New Roman"/>
          <w:i/>
          <w:iCs/>
          <w:sz w:val="24"/>
          <w:szCs w:val="24"/>
        </w:rPr>
        <w:t xml:space="preserve">M/s Skylight Man Power and Hospitality Services v. State of H.P. &amp; Ors.</w:t>
      </w:r>
      <w:r>
        <w:rPr>
          <w:rFonts w:ascii="Times New Roman" w:cs="Times New Roman" w:eastAsia="Times New Roman" w:hAnsi="Times New Roman"/>
          <w:sz w:val="24"/>
          <w:szCs w:val="24"/>
        </w:rPr>
        <w:t xml:space="preserve">, Himachal Pradesh High Court</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(exact CWP number to be confirmed from the order copy), to the effect that recovery of the balance stands stayed once the appeal is filed with the pre-deposit.</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may further be noted that a provisional attachment under Section 83 is, in any event, a drastic measure confined to protecting revenue “after the initiation of any proceeding,” and ceases to have effect by efflux of time; it cannot be used to defeat the statutory stay that operates on the filing of an appeal with pre-deposit.</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respectfully prayed that the Proper Officer be pleased to lift / withdraw the attachment of the bank account forthwith, recovery of the balance demand being deemed stayed under Section 107(7) consequent upon the appeal and the 10% pre-deposit; and to issue the necessary communication to the bank to de-freeze the account.</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2026-06-13T08:13:08.649Z</dcterms:created>
  <dcterms:modified xsi:type="dcterms:W3CDTF">2026-06-13T08:13:08.649Z</dcterms:modified>
</cp:coreProperties>
</file>

<file path=docProps/custom.xml><?xml version="1.0" encoding="utf-8"?>
<Properties xmlns="http://schemas.openxmlformats.org/officeDocument/2006/custom-properties" xmlns:vt="http://schemas.openxmlformats.org/officeDocument/2006/docPropsVTypes"/>
</file>