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122(1)(ii) of the CGST/SGST Act, 2017 — alleged issuance of invoice without supply — actual supply having been made to M/s ABC Ltd.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Invoice, banking-receipt and purchase-order tables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penalty under Section 122(1)(ii) on the footing that the registered person issued an invoice to M/s ABC Ltd without an underlying supply, the recipient being alleged to be non-existent or untraceable. The premise is incorrect on facts: the registered person made an actual supply of goods to M/s ABC Ltd, supported by tax invoices, movement documents, banking-channel receipt of consideration and purchase orders. Section 122(1)(ii) penalises the issuance of an invoice without supply; it has no application where, as here, a genuine supply was made. The proceedings ought to be dropped.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notice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proposing penalty equal to 100% of the output tax under Section 122(1)(ii), alleging that the supplies reported to M/s ABC Ltd were invoices issued without underlying supply, the recipient being said to be non-existent / untraceable.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a wholesale / retail dealer in the goods in question, made genuine supplies to M/s ABC Ltd in the ordinary course of business, particulars whereof are set out below (to be completed from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Invoice Date</w:t>
            </w:r>
          </w:p>
        </w:tc>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Invoice No.</w:t>
            </w:r>
          </w:p>
        </w:tc>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Taxable Value</w:t>
            </w:r>
          </w:p>
        </w:tc>
        <w:tc>
          <w:tcPr>
            <w:tcW w:type="dxa" w:w="25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GST</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5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SECTION 122(1)(ii) HAS NO APPLICATION WHERE AN ACTUAL SUPPLY WAS MADE</w:t>
      </w:r>
    </w:p>
    <w:p>
      <w:pPr>
        <w:spacing w:after="140" w:line="276"/>
        <w:ind w:left="720"/>
        <w:jc w:val="both"/>
      </w:pPr>
      <w:r>
        <w:rPr>
          <w:rFonts w:ascii="Times New Roman" w:cs="Times New Roman" w:eastAsia="Times New Roman" w:hAnsi="Times New Roman"/>
          <w:b/>
          <w:bCs/>
          <w:i/>
          <w:iCs/>
          <w:sz w:val="24"/>
          <w:szCs w:val="24"/>
        </w:rPr>
        <w:t xml:space="preserve">(a) The provision. </w:t>
      </w:r>
      <w:r>
        <w:rPr>
          <w:rFonts w:ascii="Times New Roman" w:cs="Times New Roman" w:eastAsia="Times New Roman" w:hAnsi="Times New Roman"/>
          <w:sz w:val="24"/>
          <w:szCs w:val="24"/>
        </w:rPr>
        <w:t xml:space="preserve">Section 122(1)(ii) penalises a taxable person who “issues any invoice or bill without supply of goods or services or both.” The gravamen of the offence is the issuance of an invoice unaccompanied by any underlying supply — the classic ‘bill-trading’ or fake-invoice situation. Where the supply is real, the sub-clause is not attracted.</w:t>
      </w:r>
    </w:p>
    <w:p>
      <w:pPr>
        <w:spacing w:after="140" w:line="276"/>
        <w:ind w:left="720"/>
        <w:jc w:val="both"/>
      </w:pPr>
      <w:r>
        <w:rPr>
          <w:rFonts w:ascii="Times New Roman" w:cs="Times New Roman" w:eastAsia="Times New Roman" w:hAnsi="Times New Roman"/>
          <w:b/>
          <w:bCs/>
          <w:i/>
          <w:iCs/>
          <w:sz w:val="24"/>
          <w:szCs w:val="24"/>
        </w:rPr>
        <w:t xml:space="preserve">(b) The CBIC’s own clarification. </w:t>
      </w:r>
      <w:r>
        <w:rPr>
          <w:rFonts w:ascii="Times New Roman" w:cs="Times New Roman" w:eastAsia="Times New Roman" w:hAnsi="Times New Roman"/>
          <w:sz w:val="24"/>
          <w:szCs w:val="24"/>
        </w:rPr>
        <w:t xml:space="preserve">Circular No. 171/03/2022-GST dated 6 July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confirms this very scheme: it addresses the situation where a registered person issues a tax invoice “without the underlying supply,” and clarifies that penal action under Section 122(1)(ii) attends only that fact-pattern. The Circular thus presupposes the absence of supply; it cannot be pressed into service against a dealer who has in fact supplied the goods.</w:t>
      </w:r>
    </w:p>
    <w:p>
      <w:pPr>
        <w:spacing w:after="140" w:line="276"/>
        <w:ind w:left="720"/>
        <w:jc w:val="both"/>
      </w:pPr>
      <w:r>
        <w:rPr>
          <w:rFonts w:ascii="Times New Roman" w:cs="Times New Roman" w:eastAsia="Times New Roman" w:hAnsi="Times New Roman"/>
          <w:b/>
          <w:bCs/>
          <w:i/>
          <w:iCs/>
          <w:sz w:val="24"/>
          <w:szCs w:val="24"/>
        </w:rPr>
        <w:t xml:space="preserve">(c) Application to the facts. </w:t>
      </w:r>
      <w:r>
        <w:rPr>
          <w:rFonts w:ascii="Times New Roman" w:cs="Times New Roman" w:eastAsia="Times New Roman" w:hAnsi="Times New Roman"/>
          <w:sz w:val="24"/>
          <w:szCs w:val="24"/>
        </w:rPr>
        <w:t xml:space="preserve">The supply to M/s ABC Ltd was genuine: it was preceded by purchase orders, evidenced by tax invoices and e-way bills, the goods having moved; and the consideration, including tax, was received through banking channels (particulars enclosed). The registered person being a wholesale / retail dealer, it is neither required to track the onward use of the goods by its buyer nor responsible for the buyer’s subsequent status on the portal. The allegation that the invoices were issued without supply is therefore contrary to the record.</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No invoice having been issued without supply, Section 122(1)(ii) is not attracted and the proposed penalty is unsustainable. The proceedings ought to be dropped.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under Section 122(1)(ii) be dropped, the supplies to M/s ABC Ltd being genuine and fully documented;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2026-06-13T08:15:41.125Z</dcterms:created>
  <dcterms:modified xsi:type="dcterms:W3CDTF">2026-06-13T08:15:41.126Z</dcterms:modified>
</cp:coreProperties>
</file>

<file path=docProps/custom.xml><?xml version="1.0" encoding="utf-8"?>
<Properties xmlns="http://schemas.openxmlformats.org/officeDocument/2006/custom-properties" xmlns:vt="http://schemas.openxmlformats.org/officeDocument/2006/docPropsVTypes"/>
</file>