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MOV-07 under Section 129 / 130 of the CGST/SGST Act, 2017 — alleged shortage of quantity on physical verification — penalty, if any, only on the value of the short quantity, not the whole consignment.</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source computation table contains an internal inconsistency (the ‘quantity found on physical verification’ is shown both as 8 Ton in the narrative and 10 Ton in the table); the figures must be reconciled against the MOV record before filing (see Flag). Figures below follow the narrative shortage of 2 Ton.</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consignment was carried with a proper tax invoice and a valid e-way bill. On physical verification, the only issue raised is a shortage of quantity (2 Ton out of 10 Ton). Where the dispute is a quantity shortage, the penalty under Section 129, if any, can attach only to the tax referable to the short quantity — not to the entire invoice value of the consignment. The demand computed on the whole consignment is therefore excessive and must be confined to the differential.</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dispatched 10 Ton of steel from Rajasthan to its buyer M/s ABC Ltd in Maharashtra under tax invoice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e-way bill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vehicle was intercepted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a notice in FORM GST MOV-07 under Section 129 / 130 was issued alleging that, against the invoice / e-way bill quantity of 10 Ton, only 8 Ton was found on physical verification — a shortage of 2 Ton — and proposing penalty of Rs. 240 (200% of tax) under Section 129 or Rs. 1,120 (value of goods) under Section 130.</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proper tax invoice and e-way bill were carried by the driver; the only matter in issue is the alleged quantity shortage. The penalty, if any, must therefore be computed on the differential quantity alone, as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Particulars</w:t>
            </w:r>
          </w:p>
        </w:tc>
        <w:tc>
          <w:tcPr>
            <w:tcW w:type="dxa" w:w="37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Amount</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Value of short quantity (2 Ton @ Rs. 100/Ton)</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200</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GST on short quantity (12%)</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24</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Section 129 penalty (200% of tax on short quantity)</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Rs. 48</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Penalty demanded in the SCN</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240</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Excess demanded</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Rs. 192</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Where the goods are accompanied by a valid invoice and e-way bill and the only discrepancy is a shortage of quantity on physical verification, the penalty under Section 129 must be confined to the tax referable to the short quantity; it cannot be levied on the entire consignment, the major part whereof is undisputed and duly documented.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This is squarely supported by </w:t>
      </w:r>
      <w:r>
        <w:rPr>
          <w:rFonts w:ascii="Times New Roman" w:cs="Times New Roman" w:eastAsia="Times New Roman" w:hAnsi="Times New Roman"/>
          <w:i/>
          <w:iCs/>
          <w:sz w:val="24"/>
          <w:szCs w:val="24"/>
        </w:rPr>
        <w:t xml:space="preserve">Usha Gupta v. Assistant Commissioner of State Tax</w:t>
      </w:r>
      <w:r>
        <w:rPr>
          <w:rFonts w:ascii="Times New Roman" w:cs="Times New Roman" w:eastAsia="Times New Roman" w:hAnsi="Times New Roman"/>
          <w:sz w:val="24"/>
          <w:szCs w:val="24"/>
        </w:rPr>
        <w:t xml:space="preserve">, Calcutta High Court (Division Bench), MAT 477 of 2023 with I.A. No. CAN 1 of 2023, dated 30 March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where the Court held that on a shortage of quantity the penalty under Section 129 is to be levied only in respect of the shortage and not on the entire consignment, and directed refund of the excess penalty. The protective approach continues in recent authority: the Allahabad High Court, by judgment dated 14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(citation to be confirmed from the order copy), has held that where the goods move with the tax invoice and e-way bill, the penalty must be computed under Section 129(1)(a) (the owner having come forward) and not on a punitive footing divorced from the documents. Applying these principles, the Section 129 penalty here is Rs. 48 and not Rs. 240.</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invocation of Section 130 (confiscation) is, in any event, misconceived: a mere quantity shortage, the consignment being otherwise covered by valid documents, does not disclose the intent to evade that Section 130 requires.</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penalty under Section 129 be confined to Rs. 48, being 200% of the tax on the short quantity, the demand of Rs. 240 being excessive to the extent of Rs. 192; that the invocation of Section 130 be dropped; and that the consignment / security be released. The registered person is ready to pay Rs. 48.</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2026-06-13T08:15:41.503Z</dcterms:created>
  <dcterms:modified xsi:type="dcterms:W3CDTF">2026-06-13T08:15:41.503Z</dcterms:modified>
</cp:coreProperties>
</file>

<file path=docProps/custom.xml><?xml version="1.0" encoding="utf-8"?>
<Properties xmlns="http://schemas.openxmlformats.org/officeDocument/2006/custom-properties" xmlns:vt="http://schemas.openxmlformats.org/officeDocument/2006/docPropsVTypes"/>
</file>