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proposing interest under Section 50(3) on allegedly wrong / excess availment of input tax credit — no interest being chargeable where the credit was availed but not utilised.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Electronic credit ledger figures to be completed from the ledger; the example below follows the source record (IGST excess of Rs. 50, total ledger balance Rs. 50).</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interest under Section 50(3) on an alleged excess availment of IGST credit (Rs. 50) in GSTR-3B over GSTR-2A. Interest under Section 50(3), as substituted with retrospective effect from 1 July 2017, is chargeable only where credit is wrongly availed and utilised. The CBIC has clarified that, for this purpose, the balance of the electronic credit ledger under IGST, CGST and SGST is to be taken together; so long as that combined balance never fell below the wrongly availed amount, the credit is treated as not utilised and no interest arises. That is the case here.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alleges that, for the period June 2021, the registered person availed IGST credit of Rs. 150 in GSTR-3B against Rs. 100 in GSTR-2A, an excess of Rs. 50, and proposes interest under Section 50(3).</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balances in the registered person’s electronic credit ledger after the said availment were (to be completed from the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40"/>
        <w:gridCol w:w="1740"/>
        <w:gridCol w:w="1740"/>
        <w:gridCol w:w="1940"/>
      </w:tblGrid>
      <w:tr>
        <w:trPr>
          <w:tblHeader/>
        </w:trPr>
        <w:tc>
          <w:tcPr>
            <w:tcW w:type="dxa" w:w="22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Period</w:t>
            </w:r>
          </w:p>
        </w:tc>
        <w:tc>
          <w:tcPr>
            <w:tcW w:type="dxa" w:w="174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IGST</w:t>
            </w:r>
          </w:p>
        </w:tc>
        <w:tc>
          <w:tcPr>
            <w:tcW w:type="dxa" w:w="174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CGST</w:t>
            </w:r>
          </w:p>
        </w:tc>
        <w:tc>
          <w:tcPr>
            <w:tcW w:type="dxa" w:w="174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SGST</w:t>
            </w:r>
          </w:p>
        </w:tc>
        <w:tc>
          <w:tcPr>
            <w:tcW w:type="dxa" w:w="194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Total / Excess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After Jun 2021</w:t>
            </w:r>
          </w:p>
        </w:tc>
        <w:tc>
          <w:tcPr>
            <w:tcW w:type="dxa" w:w="174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10</w:t>
            </w:r>
          </w:p>
        </w:tc>
        <w:tc>
          <w:tcPr>
            <w:tcW w:type="dxa" w:w="174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20</w:t>
            </w:r>
          </w:p>
        </w:tc>
        <w:tc>
          <w:tcPr>
            <w:tcW w:type="dxa" w:w="174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20</w:t>
            </w:r>
          </w:p>
        </w:tc>
        <w:tc>
          <w:tcPr>
            <w:tcW w:type="dxa" w:w="194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50 / 50</w:t>
            </w:r>
          </w:p>
        </w:tc>
      </w:tr>
    </w:tbl>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Interest only on credit availed and utilised. </w:t>
      </w:r>
      <w:r>
        <w:rPr>
          <w:rFonts w:ascii="Times New Roman" w:cs="Times New Roman" w:eastAsia="Times New Roman" w:hAnsi="Times New Roman"/>
          <w:sz w:val="24"/>
          <w:szCs w:val="24"/>
        </w:rPr>
        <w:t xml:space="preserve">Section 50(3), as substituted by Section 110 of the Finance Act 2022 — deemed to have effect from 1 July 2017</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notified by Notification No. 09/2022-Central Tax dated 5 July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 levies interest only where input tax credit “has been wrongly availed and utilised.” Mere availment without utilisation attracts no interest.</w:t>
      </w:r>
    </w:p>
    <w:p>
      <w:pPr>
        <w:spacing w:after="140" w:line="276"/>
        <w:ind w:left="720"/>
        <w:jc w:val="both"/>
      </w:pPr>
      <w:r>
        <w:rPr>
          <w:rFonts w:ascii="Times New Roman" w:cs="Times New Roman" w:eastAsia="Times New Roman" w:hAnsi="Times New Roman"/>
          <w:b/>
          <w:bCs/>
          <w:i/>
          <w:iCs/>
          <w:sz w:val="24"/>
          <w:szCs w:val="24"/>
        </w:rPr>
        <w:t xml:space="preserve">(b) Utilisation is judged on the combined ledger balance. </w:t>
      </w:r>
      <w:r>
        <w:rPr>
          <w:rFonts w:ascii="Times New Roman" w:cs="Times New Roman" w:eastAsia="Times New Roman" w:hAnsi="Times New Roman"/>
          <w:sz w:val="24"/>
          <w:szCs w:val="24"/>
        </w:rPr>
        <w:t xml:space="preserve">By Circular No. 192/04/2023-GST dated 17 July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CBIC has clarified that, for wrongly availed IGST credit, the balance of the electronic credit ledger under IGST, CGST and SGST is to be taken together; there is no interest liability under Section 50(3) if, from availment until reversal, that combined balance never fell below the wrongly availed amount, even if the IGST balance alone fell below it. Rule 88B is to be read accordingly.</w:t>
      </w:r>
    </w:p>
    <w:p>
      <w:pPr>
        <w:spacing w:after="140" w:line="276"/>
        <w:ind w:left="720"/>
        <w:jc w:val="both"/>
      </w:pPr>
      <w:r>
        <w:rPr>
          <w:rFonts w:ascii="Times New Roman" w:cs="Times New Roman" w:eastAsia="Times New Roman" w:hAnsi="Times New Roman"/>
          <w:b/>
          <w:bCs/>
          <w:i/>
          <w:iCs/>
          <w:sz w:val="24"/>
          <w:szCs w:val="24"/>
        </w:rPr>
        <w:t xml:space="preserve">(c) Application. </w:t>
      </w:r>
      <w:r>
        <w:rPr>
          <w:rFonts w:ascii="Times New Roman" w:cs="Times New Roman" w:eastAsia="Times New Roman" w:hAnsi="Times New Roman"/>
          <w:sz w:val="24"/>
          <w:szCs w:val="24"/>
        </w:rPr>
        <w:t xml:space="preserve">Here, the combined balance of the electronic credit ledger (IGST, CGST and SGST taken together) never fell below the wrongly availed IGST amount of Rs. 50 — indeed it stood at Rs. 50 — throughout. The credit was therefore availed but not utilised, and no interest is chargeable under Section 50(3).</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proposed interest under Section 50(3) be dropped, the wrongly availed credit having been availed but not utilised on the combined-ledger test clarified by Circular No. 192/04/2023-GST;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2026-06-13T08:15:41.583Z</dcterms:created>
  <dcterms:modified xsi:type="dcterms:W3CDTF">2026-06-13T08:15:41.583Z</dcterms:modified>
</cp:coreProperties>
</file>

<file path=docProps/custom.xml><?xml version="1.0" encoding="utf-8"?>
<Properties xmlns="http://schemas.openxmlformats.org/officeDocument/2006/custom-properties" xmlns:vt="http://schemas.openxmlformats.org/officeDocument/2006/docPropsVTypes"/>
</file>