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FORM GST APL-01</w:t>
      </w:r>
    </w:p>
    <w:p>
      <w:pPr>
        <w:spacing w:after="120"/>
        <w:jc w:val="center"/>
      </w:pPr>
      <w:r>
        <w:rPr>
          <w:rFonts w:ascii="Times New Roman" w:cs="Times New Roman" w:eastAsia="Times New Roman" w:hAnsi="Times New Roman"/>
          <w:i/>
          <w:iCs/>
          <w:sz w:val="24"/>
          <w:szCs w:val="24"/>
        </w:rPr>
        <w:t xml:space="preserve">[See Rule 108(1) of the CGST/SGST Rules, 2017]</w:t>
      </w:r>
    </w:p>
    <w:p>
      <w:pPr>
        <w:spacing w:after="120"/>
        <w:jc w:val="center"/>
      </w:pPr>
      <w:r>
        <w:rPr>
          <w:rFonts w:ascii="Times New Roman" w:cs="Times New Roman" w:eastAsia="Times New Roman" w:hAnsi="Times New Roman"/>
          <w:b/>
          <w:bCs/>
          <w:sz w:val="24"/>
          <w:szCs w:val="24"/>
        </w:rPr>
        <w:t xml:space="preserve">APPEAL TO THE APPELLATE AUTHORITY</w:t>
      </w:r>
    </w:p>
    <w:p>
      <w:pPr>
        <w:spacing w:after="120"/>
      </w:pPr>
    </w:p>
    <w:p>
      <w:pPr>
        <w:spacing w:after="120"/>
        <w:jc w:val="center"/>
      </w:pPr>
      <w:r>
        <w:rPr>
          <w:rFonts w:ascii="Times New Roman" w:cs="Times New Roman" w:eastAsia="Times New Roman" w:hAnsi="Times New Roman"/>
          <w:b/>
          <w:bCs/>
          <w:sz w:val="24"/>
          <w:szCs w:val="24"/>
        </w:rPr>
        <w:t xml:space="preserve">IN THE MATTER OF the cancellation of registration of</w:t>
      </w:r>
    </w:p>
    <w:p>
      <w:pPr>
        <w:spacing w:after="120"/>
        <w:jc w:val="center"/>
      </w:pPr>
      <w:r>
        <w:rPr>
          <w:rFonts w:ascii="Times New Roman" w:cs="Times New Roman" w:eastAsia="Times New Roman" w:hAnsi="Times New Roman"/>
          <w:b/>
          <w:bCs/>
          <w:sz w:val="24"/>
          <w:szCs w:val="24"/>
        </w:rPr>
        <w:t xml:space="preserve">M/s Noticedesk Technologies Private Limited</w:t>
      </w:r>
      <w:r>
        <w:rPr>
          <w:rFonts w:ascii="Times New Roman" w:cs="Times New Roman" w:eastAsia="Times New Roman" w:hAnsi="Times New Roman"/>
          <w:sz w:val="24"/>
          <w:szCs w:val="24"/>
        </w:rPr>
        <w:t xml:space="preserve"> — Appellant</w:t>
      </w:r>
    </w:p>
    <w:p>
      <w:pPr>
        <w:spacing w:after="120"/>
        <w:jc w:val="center"/>
      </w:pPr>
      <w:r>
        <w:rPr>
          <w:rFonts w:ascii="Times New Roman" w:cs="Times New Roman" w:eastAsia="Times New Roman" w:hAnsi="Times New Roman"/>
          <w:sz w:val="24"/>
          <w:szCs w:val="24"/>
        </w:rPr>
        <w:t xml:space="preserve">against the order in FORM GST REG-19,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Statutory particulars (S.No table) to be completed from the record. Authorities tagged [VERIFY].</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This appeal challenges the cancellation of the appellant’s registration ordered on the bare allegation that registration was obtained by fraud, wilful misstatement or suppression of facts. The show cause notice and the order recite only the statutory expression and disclose no particulars, no basis and no supporting material; the cancellation is, in consequence, in breach of natural justice and contrary to settled law. The order is liable to be set aside and the registration restored.</w:t>
      </w:r>
    </w:p>
    <w:p>
      <w:pPr>
        <w:pStyle w:val="Heading1"/>
        <w:spacing w:after="140" w:before="280"/>
      </w:pPr>
      <w:r>
        <w:rPr>
          <w:rFonts w:ascii="Times New Roman" w:cs="Times New Roman" w:eastAsia="Times New Roman" w:hAnsi="Times New Roman"/>
          <w:b/>
          <w:bCs/>
          <w:sz w:val="26"/>
          <w:szCs w:val="26"/>
        </w:rPr>
        <w:t xml:space="preserve">FORM GST APL-01 — STATUTORY PARTICULARS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60"/>
        <w:gridCol w:w="3400"/>
      </w:tblGrid>
      <w:tr>
        <w:trPr>
          <w:tblHeader/>
        </w:trPr>
        <w:tc>
          <w:tcPr>
            <w:tcW w:type="dxa" w:w="7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S.No</w:t>
            </w:r>
          </w:p>
        </w:tc>
        <w:tc>
          <w:tcPr>
            <w:tcW w:type="dxa" w:w="52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Particulars</w:t>
            </w:r>
          </w:p>
        </w:tc>
        <w:tc>
          <w:tcPr>
            <w:tcW w:type="dxa" w:w="34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Details</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GSTIN / UIN</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[__________]</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2</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Legal name of the appellant</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M/s Noticedesk Technologies Private Limited</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5</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Order No. &amp; Date</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REG-19 No. [____] dated [____]</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6</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Officer passing the order</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Proper Officer of State Tax, [Charge]</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7</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Date of communication</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9(1)</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Brief issue</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Cancellation of registration on the bare allegation of fraud / wilful misstatement / suppression</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10</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Hearing in person</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Yes</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11</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Statement of facts</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As per Annexure A</w:t>
            </w:r>
          </w:p>
        </w:tc>
      </w:tr>
      <w:tr>
        <w:tc>
          <w:tcPr>
            <w:tcW w:type="dxa" w:w="7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12</w:t>
            </w:r>
          </w:p>
        </w:tc>
        <w:tc>
          <w:tcPr>
            <w:tcW w:type="dxa" w:w="52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Grounds of appeal</w:t>
            </w:r>
          </w:p>
        </w:tc>
        <w:tc>
          <w:tcPr>
            <w:tcW w:type="dxa" w:w="3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As per Annexure B</w:t>
            </w:r>
          </w:p>
        </w:tc>
      </w:tr>
    </w:tbl>
    <w:p>
      <w:pPr>
        <w:pStyle w:val="Heading1"/>
        <w:spacing w:after="140" w:before="280"/>
      </w:pPr>
      <w:r>
        <w:rPr>
          <w:rFonts w:ascii="Times New Roman" w:cs="Times New Roman" w:eastAsia="Times New Roman" w:hAnsi="Times New Roman"/>
          <w:b/>
          <w:bCs/>
          <w:sz w:val="26"/>
          <w:szCs w:val="26"/>
        </w:rPr>
        <w:t xml:space="preserve">ANNEXURE A — STATEMENT OF 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M/s Noticedesk Technologies Private Limited, is / was registered under the CGST and the corresponding SGST Act bearing GSTIN </w:t>
      </w:r>
      <w:r>
        <w:rPr>
          <w:rFonts w:ascii="Times New Roman" w:cs="Times New Roman" w:eastAsia="Times New Roman" w:hAnsi="Times New Roman"/>
          <w:b/>
          <w:bCs/>
          <w:sz w:val="24"/>
          <w:szCs w:val="24"/>
        </w:rPr>
        <w:t xml:space="preserve">[__________]</w:t>
      </w:r>
      <w:r>
        <w:rPr>
          <w:rFonts w:ascii="Times New Roman" w:cs="Times New Roman" w:eastAsia="Times New Roman" w:hAnsi="Times New Roman"/>
          <w:sz w:val="24"/>
          <w:szCs w:val="24"/>
        </w:rPr>
        <w:t xml:space="preserve">, carrying on the business of </w:t>
      </w:r>
      <w:r>
        <w:rPr>
          <w:rFonts w:ascii="Times New Roman" w:cs="Times New Roman" w:eastAsia="Times New Roman" w:hAnsi="Times New Roman"/>
          <w:b/>
          <w:bCs/>
          <w:sz w:val="24"/>
          <w:szCs w:val="24"/>
        </w:rPr>
        <w:t xml:space="preserve">[nature of business]</w:t>
      </w:r>
      <w:r>
        <w:rPr>
          <w:rFonts w:ascii="Times New Roman" w:cs="Times New Roman" w:eastAsia="Times New Roman" w:hAnsi="Times New Roman"/>
          <w:sz w:val="24"/>
          <w:szCs w:val="24"/>
        </w:rPr>
        <w:t xml:space="preserv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received a show cause notice (in FORM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proposing cancellation of its registration, the only reason stated being the reproduction of the statutory phrase that registration “has been obtained by means of fraud, wilful misstatement or suppression of facts,” without any particulars or material.</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was thus unable to file an effective reply. The proper officer nonetheless passed the impugned order in FORM GST REG-19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cancelling the registration with effect from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without disclosing reasons or dealing with the appellant’s position. Being aggrieved, the appellant prefers this appeal within time under Section 107.</w:t>
      </w:r>
    </w:p>
    <w:p>
      <w:pPr>
        <w:pStyle w:val="Heading1"/>
        <w:spacing w:after="140" w:before="280"/>
      </w:pPr>
      <w:r>
        <w:rPr>
          <w:rFonts w:ascii="Times New Roman" w:cs="Times New Roman" w:eastAsia="Times New Roman" w:hAnsi="Times New Roman"/>
          <w:b/>
          <w:bCs/>
          <w:sz w:val="26"/>
          <w:szCs w:val="26"/>
        </w:rPr>
        <w:t xml:space="preserve">ANNEXURE B — GROUNDS OF APPEAL</w:t>
      </w:r>
    </w:p>
    <w:p>
      <w:pPr>
        <w:pStyle w:val="Heading2"/>
        <w:spacing w:after="120" w:before="200"/>
      </w:pPr>
      <w:r>
        <w:rPr>
          <w:rFonts w:ascii="Times New Roman" w:cs="Times New Roman" w:eastAsia="Times New Roman" w:hAnsi="Times New Roman"/>
          <w:b/>
          <w:bCs/>
          <w:sz w:val="24"/>
          <w:szCs w:val="24"/>
        </w:rPr>
        <w:t xml:space="preserve">GROUND 1: THE SHOW CAUSE NOTICE AND THE ORDER ARE VAGUE AND IN BREACH OF NATURAL JUSTICE</w:t>
      </w:r>
    </w:p>
    <w:p>
      <w:pPr>
        <w:spacing w:after="140" w:line="276"/>
        <w:ind w:left="720"/>
        <w:jc w:val="both"/>
      </w:pPr>
      <w:r>
        <w:rPr>
          <w:rFonts w:ascii="Times New Roman" w:cs="Times New Roman" w:eastAsia="Times New Roman" w:hAnsi="Times New Roman"/>
          <w:b/>
          <w:bCs/>
          <w:i/>
          <w:iCs/>
          <w:sz w:val="24"/>
          <w:szCs w:val="24"/>
        </w:rPr>
        <w:t xml:space="preserve">(a) The defect. </w:t>
      </w:r>
      <w:r>
        <w:rPr>
          <w:rFonts w:ascii="Times New Roman" w:cs="Times New Roman" w:eastAsia="Times New Roman" w:hAnsi="Times New Roman"/>
          <w:sz w:val="24"/>
          <w:szCs w:val="24"/>
        </w:rPr>
        <w:t xml:space="preserve">Both the notice and the order recite only the statutory expression — “fraud, wilful misstatement or suppression of facts” — without disclosing what is alleged, the basis, or the material. The appellant was given nothing to meet, and the order records no reasons.</w:t>
      </w:r>
    </w:p>
    <w:p>
      <w:pPr>
        <w:spacing w:after="140" w:line="276"/>
        <w:ind w:left="720"/>
        <w:jc w:val="both"/>
      </w:pPr>
      <w:r>
        <w:rPr>
          <w:rFonts w:ascii="Times New Roman" w:cs="Times New Roman" w:eastAsia="Times New Roman" w:hAnsi="Times New Roman"/>
          <w:b/>
          <w:bCs/>
          <w:i/>
          <w:iCs/>
          <w:sz w:val="24"/>
          <w:szCs w:val="24"/>
        </w:rPr>
        <w:t xml:space="preserve">(b) The law and authorities. </w:t>
      </w:r>
      <w:r>
        <w:rPr>
          <w:rFonts w:ascii="Times New Roman" w:cs="Times New Roman" w:eastAsia="Times New Roman" w:hAnsi="Times New Roman"/>
          <w:sz w:val="24"/>
          <w:szCs w:val="24"/>
        </w:rPr>
        <w:t xml:space="preserve">A show cause notice must set out intelligible reasons and particulars to enable a response; a notice that merely reproduces the statute is bad in law, and an order founded on it cannot stand. Reliance is placed on </w:t>
      </w:r>
      <w:r>
        <w:rPr>
          <w:rFonts w:ascii="Times New Roman" w:cs="Times New Roman" w:eastAsia="Times New Roman" w:hAnsi="Times New Roman"/>
          <w:i/>
          <w:iCs/>
          <w:sz w:val="24"/>
          <w:szCs w:val="24"/>
        </w:rPr>
        <w:t xml:space="preserve">APJ Investments Pvt. Ltd. v. Commissioner of GST</w:t>
      </w:r>
      <w:r>
        <w:rPr>
          <w:rFonts w:ascii="Times New Roman" w:cs="Times New Roman" w:eastAsia="Times New Roman" w:hAnsi="Times New Roman"/>
          <w:sz w:val="24"/>
          <w:szCs w:val="24"/>
        </w:rPr>
        <w:t xml:space="preserve">, Delhi HC, W.P.(C) 6033/2023, dated 9 May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(caption to be confirmed); </w:t>
      </w:r>
      <w:r>
        <w:rPr>
          <w:rFonts w:ascii="Times New Roman" w:cs="Times New Roman" w:eastAsia="Times New Roman" w:hAnsi="Times New Roman"/>
          <w:i/>
          <w:iCs/>
          <w:sz w:val="24"/>
          <w:szCs w:val="24"/>
        </w:rPr>
        <w:t xml:space="preserve">Sarvoday Impex v. Union of India</w:t>
      </w:r>
      <w:r>
        <w:rPr>
          <w:rFonts w:ascii="Times New Roman" w:cs="Times New Roman" w:eastAsia="Times New Roman" w:hAnsi="Times New Roman"/>
          <w:sz w:val="24"/>
          <w:szCs w:val="24"/>
        </w:rPr>
        <w:t xml:space="preserve">, Gujarat HC, SCA No. 903 of 2023, dated 7 June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Virendra Singh Thakur v. State of Madhya Pradesh &amp; Ors.</w:t>
      </w:r>
      <w:r>
        <w:rPr>
          <w:rFonts w:ascii="Times New Roman" w:cs="Times New Roman" w:eastAsia="Times New Roman" w:hAnsi="Times New Roman"/>
          <w:sz w:val="24"/>
          <w:szCs w:val="24"/>
        </w:rPr>
        <w:t xml:space="preserve">, Madhya Pradesh HC</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(writ number and date to be confirmed), in each of which a notice merely reproducing the statutory phrase (and the consequent cancellation) was quashed for want of particulars and breach of natural justice; and on the continuing 2025-2026 line — </w:t>
      </w:r>
      <w:r>
        <w:rPr>
          <w:rFonts w:ascii="Times New Roman" w:cs="Times New Roman" w:eastAsia="Times New Roman" w:hAnsi="Times New Roman"/>
          <w:i/>
          <w:iCs/>
          <w:sz w:val="24"/>
          <w:szCs w:val="24"/>
        </w:rPr>
        <w:t xml:space="preserve">Sachdeva Steel Impex v. Union of India</w:t>
      </w:r>
      <w:r>
        <w:rPr>
          <w:rFonts w:ascii="Times New Roman" w:cs="Times New Roman" w:eastAsia="Times New Roman" w:hAnsi="Times New Roman"/>
          <w:sz w:val="24"/>
          <w:szCs w:val="24"/>
        </w:rPr>
        <w:t xml:space="preserve">, P&amp;H HC, CWP No. 11563 of 2026</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the Delhi High Court in </w:t>
      </w:r>
      <w:r>
        <w:rPr>
          <w:rFonts w:ascii="Times New Roman" w:cs="Times New Roman" w:eastAsia="Times New Roman" w:hAnsi="Times New Roman"/>
          <w:i/>
          <w:iCs/>
          <w:sz w:val="24"/>
          <w:szCs w:val="24"/>
        </w:rPr>
        <w:t xml:space="preserve">Akash Bansal</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V R Impex</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(2025) (exact citations to be confirmed from the order copies).</w:t>
      </w:r>
    </w:p>
    <w:p>
      <w:pPr>
        <w:spacing w:after="140" w:line="276"/>
        <w:ind w:left="720"/>
        <w:jc w:val="both"/>
      </w:pPr>
      <w:r>
        <w:rPr>
          <w:rFonts w:ascii="Times New Roman" w:cs="Times New Roman" w:eastAsia="Times New Roman" w:hAnsi="Times New Roman"/>
          <w:b/>
          <w:bCs/>
          <w:i/>
          <w:iCs/>
          <w:sz w:val="24"/>
          <w:szCs w:val="24"/>
        </w:rPr>
        <w:t xml:space="preserve">(c) Conclusion. </w:t>
      </w:r>
      <w:r>
        <w:rPr>
          <w:rFonts w:ascii="Times New Roman" w:cs="Times New Roman" w:eastAsia="Times New Roman" w:hAnsi="Times New Roman"/>
          <w:sz w:val="24"/>
          <w:szCs w:val="24"/>
        </w:rPr>
        <w:t xml:space="preserve">The notice and the order being vague and in breach of natural justice, the cancellation is unsustainable and is liable to be set aside, with restoration of the registration.</w:t>
      </w:r>
    </w:p>
    <w:p>
      <w:pPr>
        <w:pStyle w:val="Heading2"/>
        <w:spacing w:after="120" w:before="200"/>
      </w:pPr>
      <w:r>
        <w:rPr>
          <w:rFonts w:ascii="Times New Roman" w:cs="Times New Roman" w:eastAsia="Times New Roman" w:hAnsi="Times New Roman"/>
          <w:b/>
          <w:bCs/>
          <w:sz w:val="24"/>
          <w:szCs w:val="24"/>
        </w:rPr>
        <w:t xml:space="preserve">GROUND 2: NO MATERIAL OF FRAUD, WILFUL MISSTATEMENT OR SUPPRESSION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Cancellation under Section 29(2)(e) requires that registration was “obtained by means of fraud, wilful misstatement or suppression of facts.” No such material exists or has been disclosed. A conclusion of fraud cannot rest on the mere assertion of the statutory words; in the absence of any finding supported by material, the cancellation is without foundation.</w:t>
      </w:r>
    </w:p>
    <w:p>
      <w:pPr>
        <w:pStyle w:val="Heading2"/>
        <w:spacing w:after="120" w:before="200"/>
      </w:pPr>
      <w:r>
        <w:rPr>
          <w:rFonts w:ascii="Times New Roman" w:cs="Times New Roman" w:eastAsia="Times New Roman" w:hAnsi="Times New Roman"/>
          <w:b/>
          <w:bCs/>
          <w:sz w:val="24"/>
          <w:szCs w:val="24"/>
        </w:rPr>
        <w:t xml:space="preserve">GROUND 3 (WITHOUT PREJUDICE): PROPORTIONALITY AND RESTORATION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Cancellation of registration is a drastic measure that brings business to a halt and visits serious civil consequences. Where, as here, the foundation is absent, the appropriate course is to set aside the cancellation and restore the registration, the Department being at liberty, if it has any genuine case, to issue a fresh and particularised notice in accordance with law.</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respectfully prayed that the Learned Appellate Authority be pleased to: (i) SET ASIDE the impugned order of cancellation in FORM GST REG-19 and RESTORE the appellant’s registration; (ii) HOLD that the show cause notice and the order are vague and in breach of natural justice; (iii) GRANT a personal hearing through the Authorised Representative; and (iv) PASS such further order as may be just and proper.</w:t>
      </w:r>
    </w:p>
    <w:p>
      <w:pPr>
        <w:spacing w:after="160" w:line="276"/>
        <w:jc w:val="both"/>
      </w:pPr>
      <w:r>
        <w:rPr>
          <w:rFonts w:ascii="Times New Roman" w:cs="Times New Roman" w:eastAsia="Times New Roman" w:hAnsi="Times New Roman"/>
          <w:b/>
          <w:bCs/>
          <w:i/>
          <w:iCs/>
          <w:sz w:val="24"/>
          <w:szCs w:val="24"/>
        </w:rPr>
        <w:t xml:space="preserve">Note on the Appellate Tribunal (for the record): </w:t>
      </w:r>
      <w:r>
        <w:rPr>
          <w:rFonts w:ascii="Times New Roman" w:cs="Times New Roman" w:eastAsia="Times New Roman" w:hAnsi="Times New Roman"/>
          <w:i/>
          <w:iCs/>
          <w:sz w:val="24"/>
          <w:szCs w:val="24"/>
        </w:rPr>
        <w:t xml:space="preserve">the GST Appellate Tribunal is now operational (benches functional from February 2026), and for first-appeal/revision orders communicated before 1 April 2026 the appeal must be filed by 30 June 2026 (Notification S.O. 4220(E) dated 17 September 2025). On filing the Tribunal appeal with the pre-deposit under Section 112(8) — 10% of the disputed tax (in addition to the 10% paid at the first-appeal stage), and 10% of the penalty in a penalty-only matter — recovery of the balance is stayed under Section 112(9). The exact appeal route, limitation and pre-deposit must be confirmed against the order and the current notifications before filing.</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2026-06-13T08:15:41.690Z</dcterms:created>
  <dcterms:modified xsi:type="dcterms:W3CDTF">2026-06-13T08:15:41.690Z</dcterms:modified>
</cp:coreProperties>
</file>

<file path=docProps/custom.xml><?xml version="1.0" encoding="utf-8"?>
<Properties xmlns="http://schemas.openxmlformats.org/officeDocument/2006/custom-properties" xmlns:vt="http://schemas.openxmlformats.org/officeDocument/2006/docPropsVTypes"/>
</file>