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notice in FORM GST DRC-01 proposing reversal of input tax credit on the ground that the supplier’s registration was cancelled after the purchase — the cancellation being prospective, and the supplier having filed its returns for the relevant period.</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(originally Rajasthan) to be reconciled.</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notice proposes reversal of input tax credit of Rs. 10 availed on a FY 2017-18 purchase from M/s ABC Ltd, on the ground that the supplier’s registration was cancelled in FY 2020-21. Crucially, that cancellation is prospective — it does not operate retrospectively — and the supplier was duly registered, and had filed its returns, for the period of the purchase. The registered person satisfied every condition of Section 16(2) when the credit was availed. The subsequent prospective cancellation of the supplier cannot disturb credit validly taken at a time when the supplier was registered and compliant.</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In FY 2017-18 the registered person purchased goods from M/s ABC Ltd, then a duly registered supplier, of value Rs. 100 with input tax of Rs. 10, against a valid tax invoice; the goods were received, payment with tax was made through banking channels, and the credit was reflected in the GSTR-2A / 2B. The supplier filed its returns for the relevant period.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supplier’s registration was cancelled in FY 2020-21 — prospectively, and not with retrospective effect. The notice nonetheless proposes reversal of the credit.</w:t>
      </w:r>
    </w:p>
    <w:p>
      <w:pPr>
        <w:pStyle w:val="Heading1"/>
        <w:spacing w:after="140" w:before="280"/>
      </w:pPr>
      <w:r>
        <w:rPr>
          <w:rFonts w:ascii="Times New Roman" w:cs="Times New Roman" w:eastAsia="Times New Roman" w:hAnsi="Times New Roman"/>
          <w:b/>
          <w:bCs/>
          <w:sz w:val="26"/>
          <w:szCs w:val="26"/>
        </w:rPr>
        <w:t xml:space="preserve">SUBMISSIONS</w:t>
      </w:r>
    </w:p>
    <w:p>
      <w:pPr>
        <w:spacing w:after="140" w:line="276"/>
        <w:ind w:left="720"/>
        <w:jc w:val="both"/>
      </w:pPr>
      <w:r>
        <w:rPr>
          <w:rFonts w:ascii="Times New Roman" w:cs="Times New Roman" w:eastAsia="Times New Roman" w:hAnsi="Times New Roman"/>
          <w:b/>
          <w:bCs/>
          <w:i/>
          <w:iCs/>
          <w:sz w:val="24"/>
          <w:szCs w:val="24"/>
        </w:rPr>
        <w:t xml:space="preserve">(a) The Section 16(2) conditions were satisfied. </w:t>
      </w:r>
      <w:r>
        <w:rPr>
          <w:rFonts w:ascii="Times New Roman" w:cs="Times New Roman" w:eastAsia="Times New Roman" w:hAnsi="Times New Roman"/>
          <w:sz w:val="24"/>
          <w:szCs w:val="24"/>
        </w:rPr>
        <w:t xml:space="preserve">Section 16(2) permits credit upon possession of a tax invoice, receipt of the goods, the tax having been paid to the Government (subject to Section 41), and the furnishing of the return. Each condition was met when the credit was availed; the supplier was then registered and had filed its returns, so the tax stood accounted.</w:t>
      </w:r>
    </w:p>
    <w:p>
      <w:pPr>
        <w:spacing w:after="140" w:line="276"/>
        <w:ind w:left="720"/>
        <w:jc w:val="both"/>
      </w:pPr>
      <w:r>
        <w:rPr>
          <w:rFonts w:ascii="Times New Roman" w:cs="Times New Roman" w:eastAsia="Times New Roman" w:hAnsi="Times New Roman"/>
          <w:b/>
          <w:bCs/>
          <w:i/>
          <w:iCs/>
          <w:sz w:val="24"/>
          <w:szCs w:val="24"/>
        </w:rPr>
        <w:t xml:space="preserve">(b) A prospective cancellation does not unsettle prior valid credit. </w:t>
      </w:r>
      <w:r>
        <w:rPr>
          <w:rFonts w:ascii="Times New Roman" w:cs="Times New Roman" w:eastAsia="Times New Roman" w:hAnsi="Times New Roman"/>
          <w:sz w:val="24"/>
          <w:szCs w:val="24"/>
        </w:rPr>
        <w:t xml:space="preserve">Unlike a retrospective cancellation, a cancellation operating only from a later date does not erase the supplier’s registration for the earlier period. As on the date of the supply the supplier was a registered taxable person, and the transaction was complete and compliant. There is no provision that divests a recipient of credit validly taken merely because the supplier’s registration is cancelled prospectively at a later point.</w:t>
      </w:r>
    </w:p>
    <w:p>
      <w:pPr>
        <w:spacing w:after="140" w:line="276"/>
        <w:ind w:left="720"/>
        <w:jc w:val="both"/>
      </w:pPr>
      <w:r>
        <w:rPr>
          <w:rFonts w:ascii="Times New Roman" w:cs="Times New Roman" w:eastAsia="Times New Roman" w:hAnsi="Times New Roman"/>
          <w:b/>
          <w:bCs/>
          <w:i/>
          <w:iCs/>
          <w:sz w:val="24"/>
          <w:szCs w:val="24"/>
        </w:rPr>
        <w:t xml:space="preserve">(c) For the pre-1 October 2022 period there was no recipient-side reversal machinery. </w:t>
      </w:r>
      <w:r>
        <w:rPr>
          <w:rFonts w:ascii="Times New Roman" w:cs="Times New Roman" w:eastAsia="Times New Roman" w:hAnsi="Times New Roman"/>
          <w:sz w:val="24"/>
          <w:szCs w:val="24"/>
        </w:rPr>
        <w:t xml:space="preserve">In any event, for periods before 1 October 2022, Section 41 contained no mechanism casting upon the recipient a liability to reverse credit on account of a supplier’s subsequent default; the reversal-and-re-availment scheme under the substituted Section 41 and Rule 37A operates prospectively only.</w:t>
      </w:r>
    </w:p>
    <w:p>
      <w:pPr>
        <w:spacing w:after="140" w:line="276"/>
        <w:ind w:left="720"/>
        <w:jc w:val="both"/>
      </w:pPr>
      <w:r>
        <w:rPr>
          <w:rFonts w:ascii="Times New Roman" w:cs="Times New Roman" w:eastAsia="Times New Roman" w:hAnsi="Times New Roman"/>
          <w:b/>
          <w:bCs/>
          <w:i/>
          <w:iCs/>
          <w:sz w:val="24"/>
          <w:szCs w:val="24"/>
        </w:rPr>
        <w:t xml:space="preserve">(d) Conclusion. </w:t>
      </w:r>
      <w:r>
        <w:rPr>
          <w:rFonts w:ascii="Times New Roman" w:cs="Times New Roman" w:eastAsia="Times New Roman" w:hAnsi="Times New Roman"/>
          <w:sz w:val="24"/>
          <w:szCs w:val="24"/>
        </w:rPr>
        <w:t xml:space="preserve">The credit having been validly availed when the supplier was registered and compliant, and the cancellation being prospective, no reversal is warranted. The proceedings ought to be dropped.</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notice be dropped, the credit having been validly availed under Section 16(2) at a time when the supplier was registered and compliant, and the supplier’s registration having been cancelled only prospectively; and that a hearing be granted before any adverse order.</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2026-06-13T08:13:09.728Z</dcterms:created>
  <dcterms:modified xsi:type="dcterms:W3CDTF">2026-06-13T08:13:09.728Z</dcterms:modified>
</cp:coreProperties>
</file>

<file path=docProps/custom.xml><?xml version="1.0" encoding="utf-8"?>
<Properties xmlns="http://schemas.openxmlformats.org/officeDocument/2006/custom-properties" xmlns:vt="http://schemas.openxmlformats.org/officeDocument/2006/docPropsVTypes"/>
</file>