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alleging that input tax credit was availed beyond the time-limit in Section 16(4) of the CGST/SGST Act, 2017 — the registration having been cancelled and later revoked, and the retrospective relief in Sections 16(5) and 16(6) applying.</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specific period and the revocation route (Amnesty 2020/2022 or appellate order)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input tax credit pertaining to an earlier period was availed late — in a return filed after the Section 16(4) cut-off — and is therefore inadmissible. The lateness, however, was the direct consequence of the cancellation of the registered person’s own registration: it could not file returns, and hence could not avail the credit, until the cancellation was revoked. On revocation, it filed the returns and took the credit. That situation is now expressly relieved by Section 16(6), and the broader retrospective window in Section 16(5) (FY 2017-18 to 2020-21, credit allowed if taken in any return filed up to 30 November 2021) further protects the credit.</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person’s registration was cancelled in or about August 2019 (for non-filing of returns or other reason). It was subsequently revoked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 under the amnesty for revocation (2020 / 2022) or pursuant to an order allowing revocation, as the case may be. On revocation, the registered person filed the pending returns and availed the input tax credit of the earlier period, including the period referred to in the notice.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alleges that, because the credit (e.g., of March 2019) was availed in a later return (e.g., July 2020), it is barred by Section 16(4).</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The lateness was caused by the cancellation, not by the registered person. </w:t>
      </w:r>
      <w:r>
        <w:rPr>
          <w:rFonts w:ascii="Times New Roman" w:cs="Times New Roman" w:eastAsia="Times New Roman" w:hAnsi="Times New Roman"/>
          <w:sz w:val="24"/>
          <w:szCs w:val="24"/>
        </w:rPr>
        <w:t xml:space="preserve">During the period of cancellation the registered person was disabled from filing returns and therefore from availing credit. The delay is wholly attributable to the cancellation and the time taken in securing revocation; it is not a case of a functioning registrant sitting on its credit.</w:t>
      </w:r>
    </w:p>
    <w:p>
      <w:pPr>
        <w:spacing w:after="140" w:line="276"/>
        <w:ind w:left="720"/>
        <w:jc w:val="both"/>
      </w:pPr>
      <w:r>
        <w:rPr>
          <w:rFonts w:ascii="Times New Roman" w:cs="Times New Roman" w:eastAsia="Times New Roman" w:hAnsi="Times New Roman"/>
          <w:b/>
          <w:bCs/>
          <w:i/>
          <w:iCs/>
          <w:sz w:val="24"/>
          <w:szCs w:val="24"/>
        </w:rPr>
        <w:t xml:space="preserve">(b) Section 16(6) — the precise relief for cancelled-then-revoked registrations. </w:t>
      </w:r>
      <w:r>
        <w:rPr>
          <w:rFonts w:ascii="Times New Roman" w:cs="Times New Roman" w:eastAsia="Times New Roman" w:hAnsi="Times New Roman"/>
          <w:sz w:val="24"/>
          <w:szCs w:val="24"/>
        </w:rPr>
        <w:t xml:space="preserve">Section 16(6) of the Act (inserted by the Finance (No. 2) Act, 2024 with retrospective effect from 1 July 2017, notified by Notification No. 17/2024-Central Tax dated 27 September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provides that where a registration is cancelled under Section 29 and subsequently revoked (under Section 30 or by an appellate / tribunal / court order), and where the availment of credit was not restricted under Section 16(4) on the date of the cancellation order, the registered person is entitled to take that credit in a return filed within the prescribed period of revocation. The registered person’s case falls squarely within this provision.</w:t>
      </w:r>
    </w:p>
    <w:p>
      <w:pPr>
        <w:spacing w:after="140" w:line="276"/>
        <w:ind w:left="720"/>
        <w:jc w:val="both"/>
      </w:pPr>
      <w:r>
        <w:rPr>
          <w:rFonts w:ascii="Times New Roman" w:cs="Times New Roman" w:eastAsia="Times New Roman" w:hAnsi="Times New Roman"/>
          <w:b/>
          <w:bCs/>
          <w:i/>
          <w:iCs/>
          <w:sz w:val="24"/>
          <w:szCs w:val="24"/>
        </w:rPr>
        <w:t xml:space="preserve">(c) Section 16(5) — the wider retrospective window. </w:t>
      </w:r>
      <w:r>
        <w:rPr>
          <w:rFonts w:ascii="Times New Roman" w:cs="Times New Roman" w:eastAsia="Times New Roman" w:hAnsi="Times New Roman"/>
          <w:sz w:val="24"/>
          <w:szCs w:val="24"/>
        </w:rPr>
        <w:t xml:space="preserve">Further, Section 16(5) entitles a registered person to credit for the financial years 2017-18 to 2020-21 in any return under Section 39 filed up to 30 November 2021, notwithstanding Section 16(4). To the extent the period in the notice falls within those years, this provision independently protects the credit. The implementation mechanism for orders already passed is in Circular No. 237/31/2024-GST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Sections 16(5) and 16(6) being expressly retrospective and squarely applicable, the Section 16(4) objection does not survive. The proceedings ought to be dropped, or the rectification mechanism applied to set aside any order already passed.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credit being protected by Section 16(6) (cancellation followed by revocation) and, in any event, by Section 16(5) read with Circular No. 237/31/2024-GST;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2026-06-13T08:13:09.833Z</dcterms:created>
  <dcterms:modified xsi:type="dcterms:W3CDTF">2026-06-13T08:13:09.833Z</dcterms:modified>
</cp:coreProperties>
</file>

<file path=docProps/custom.xml><?xml version="1.0" encoding="utf-8"?>
<Properties xmlns="http://schemas.openxmlformats.org/officeDocument/2006/custom-properties" xmlns:vt="http://schemas.openxmlformats.org/officeDocument/2006/docPropsVTypes"/>
</file>