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proposing reversal of input tax credit on cement, iron and steel, etc. as blocked under Section 17(5) — the registered person being a dealer trading in those very goods, not a person constructing immovable property.</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treats the input tax credit on cement, iron, steel and paint as blocked under Section 17(5). That bar applies to goods used for construction of an immovable property on one’s own account. The registered person is a dealer trading in those very goods — they are its stock-in-trade, bought and sold in the ordinary course — not goods consumed in constructing any property. The Section 17(5) bar has no application; the credit is admissible under Section 16.</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is a dealer in hardware / cement / iron and steel, as reflected in the HSN codes in its registration certificate. The cement, iron, steel and paint on which credit was availed are its purchases for resale; the same goods appear as purchases and as sales in its invoices, and as opening and closing stock in its financial statements. Sample purchase and sales invoices and the financial statements are enclosed.</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Section 17(5)(d) addresses construction, not trading. </w:t>
      </w:r>
      <w:r>
        <w:rPr>
          <w:rFonts w:ascii="Times New Roman" w:cs="Times New Roman" w:eastAsia="Times New Roman" w:hAnsi="Times New Roman"/>
          <w:sz w:val="24"/>
          <w:szCs w:val="24"/>
        </w:rPr>
        <w:t xml:space="preserve">Section 17(5)(d) blocks credit on goods received “for construction of an immovable property” on one’s own account. Its target is self-construction; it does not touch goods bought as stock-in-trade for resale. Where the goods are the dealer’s merchandise, they are not ‘received for construction’ at all.</w:t>
      </w:r>
    </w:p>
    <w:p>
      <w:pPr>
        <w:spacing w:after="140" w:line="276"/>
        <w:ind w:left="720"/>
        <w:jc w:val="both"/>
      </w:pPr>
      <w:r>
        <w:rPr>
          <w:rFonts w:ascii="Times New Roman" w:cs="Times New Roman" w:eastAsia="Times New Roman" w:hAnsi="Times New Roman"/>
          <w:b/>
          <w:bCs/>
          <w:i/>
          <w:iCs/>
          <w:sz w:val="24"/>
          <w:szCs w:val="24"/>
        </w:rPr>
        <w:t xml:space="preserve">(b) Application to the facts. </w:t>
      </w:r>
      <w:r>
        <w:rPr>
          <w:rFonts w:ascii="Times New Roman" w:cs="Times New Roman" w:eastAsia="Times New Roman" w:hAnsi="Times New Roman"/>
          <w:sz w:val="24"/>
          <w:szCs w:val="24"/>
        </w:rPr>
        <w:t xml:space="preserve">The registered person constructs no property; it buys and sells these goods. They are its stock-in-trade, used in the course of its taxable outward supplies, squarely within Section 16(1). The CBIC FAQ relied on in the notice itself confines the bar to goods used for construction of a building — which is not this case.</w:t>
      </w:r>
    </w:p>
    <w:p>
      <w:pPr>
        <w:spacing w:after="140" w:line="276"/>
        <w:ind w:left="720"/>
        <w:jc w:val="both"/>
      </w:pPr>
      <w:r>
        <w:rPr>
          <w:rFonts w:ascii="Times New Roman" w:cs="Times New Roman" w:eastAsia="Times New Roman" w:hAnsi="Times New Roman"/>
          <w:b/>
          <w:bCs/>
          <w:i/>
          <w:iCs/>
          <w:sz w:val="24"/>
          <w:szCs w:val="24"/>
        </w:rPr>
        <w:t xml:space="preserve">(c) Conclusion. </w:t>
      </w:r>
      <w:r>
        <w:rPr>
          <w:rFonts w:ascii="Times New Roman" w:cs="Times New Roman" w:eastAsia="Times New Roman" w:hAnsi="Times New Roman"/>
          <w:sz w:val="24"/>
          <w:szCs w:val="24"/>
        </w:rPr>
        <w:t xml:space="preserve">The Section 17(5) bar being inapplicable to a dealer trading in these goods, the credit is admissible and the proposed reversal is unsustainable.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registered person being a dealer in cement, iron and steel and the goods being its stock-in-trade outside the Section 17(5) bar;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2026-06-13T08:13:10.361Z</dcterms:created>
  <dcterms:modified xsi:type="dcterms:W3CDTF">2026-06-13T08:13:10.361Z</dcterms:modified>
</cp:coreProperties>
</file>

<file path=docProps/custom.xml><?xml version="1.0" encoding="utf-8"?>
<Properties xmlns="http://schemas.openxmlformats.org/officeDocument/2006/custom-properties" xmlns:vt="http://schemas.openxmlformats.org/officeDocument/2006/docPropsVTypes"/>
</file>