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proposing a general penalty under Section 125 of the CGST/SGST Act, 2017 for a minor procedural lapse — no penalty being leviable for a minor, easily rectifiable breach made without fraudulent intent, under Section 126.</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 The specific lapse alleged to be completed from the notice.</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proposes a general penalty under Section 125 for a minor procedural lapse — such as not adding an additional place of business, not displaying the GSTIN, or a small reporting error — of the order of Rs. 5,000 in tax. Section 126 expressly bars the imposition of penalty for minor breaches of procedure and for easily rectifiable omissions or mistakes in documentation made without fraudulent intent or gross negligence, and treats a breach involving tax of less than Rs. 5,000 as a ‘minor breach.’ The lapse here is exactly such a breach, and has in any event been rectified; no penalty is warranted.</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notice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alleges a procedural lapse — </w:t>
      </w:r>
      <w:r>
        <w:rPr>
          <w:rFonts w:ascii="Times New Roman" w:cs="Times New Roman" w:eastAsia="Times New Roman" w:hAnsi="Times New Roman"/>
          <w:b/>
          <w:bCs/>
          <w:sz w:val="24"/>
          <w:szCs w:val="24"/>
        </w:rPr>
        <w:t xml:space="preserve">[specify: e.g., additional place of business not added / GSTIN not displayed / a reporting error of about Rs. 5,000 / authorised-signatory or address change not updated]</w:t>
      </w:r>
      <w:r>
        <w:rPr>
          <w:rFonts w:ascii="Times New Roman" w:cs="Times New Roman" w:eastAsia="Times New Roman" w:hAnsi="Times New Roman"/>
          <w:sz w:val="24"/>
          <w:szCs w:val="24"/>
        </w:rPr>
        <w:t xml:space="preserve"> — and proposes penalty under Section 125. The lapse was inadvertent, without any fraudulent intent, and the registered person has since rectified it (the rectification request / amendment filed at the office is enclosed).</w:t>
      </w:r>
    </w:p>
    <w:p>
      <w:pPr>
        <w:pStyle w:val="Heading1"/>
        <w:spacing w:after="140" w:before="280"/>
      </w:pPr>
      <w:r>
        <w:rPr>
          <w:rFonts w:ascii="Times New Roman" w:cs="Times New Roman" w:eastAsia="Times New Roman" w:hAnsi="Times New Roman"/>
          <w:b/>
          <w:bCs/>
          <w:sz w:val="26"/>
          <w:szCs w:val="26"/>
        </w:rPr>
        <w:t xml:space="preserve">SUBMISSIONS</w:t>
      </w:r>
    </w:p>
    <w:p>
      <w:pPr>
        <w:spacing w:after="140" w:line="276"/>
        <w:ind w:left="720"/>
        <w:jc w:val="both"/>
      </w:pPr>
      <w:r>
        <w:rPr>
          <w:rFonts w:ascii="Times New Roman" w:cs="Times New Roman" w:eastAsia="Times New Roman" w:hAnsi="Times New Roman"/>
          <w:b/>
          <w:bCs/>
          <w:i/>
          <w:iCs/>
          <w:sz w:val="24"/>
          <w:szCs w:val="24"/>
        </w:rPr>
        <w:t xml:space="preserve">(a) Section 125 is a residuary penalty, discretionary and fact-dependent. </w:t>
      </w:r>
      <w:r>
        <w:rPr>
          <w:rFonts w:ascii="Times New Roman" w:cs="Times New Roman" w:eastAsia="Times New Roman" w:hAnsi="Times New Roman"/>
          <w:sz w:val="24"/>
          <w:szCs w:val="24"/>
        </w:rPr>
        <w:t xml:space="preserve">Section 125 prescribes a general penalty “which may extend to twenty-five thousand rupees” for contraventions for which no separate penalty is provided. It is neither a fixed sum nor a fixed percentage; the words “may extend to” make it a ceiling, to be applied, if at all, commensurately with the gravity of the breach.</w:t>
      </w:r>
    </w:p>
    <w:p>
      <w:pPr>
        <w:spacing w:after="140" w:line="276"/>
        <w:ind w:left="720"/>
        <w:jc w:val="both"/>
      </w:pPr>
      <w:r>
        <w:rPr>
          <w:rFonts w:ascii="Times New Roman" w:cs="Times New Roman" w:eastAsia="Times New Roman" w:hAnsi="Times New Roman"/>
          <w:b/>
          <w:bCs/>
          <w:i/>
          <w:iCs/>
          <w:sz w:val="24"/>
          <w:szCs w:val="24"/>
        </w:rPr>
        <w:t xml:space="preserve">(b) Section 126 bars penalty for a minor, rectifiable breach. </w:t>
      </w:r>
      <w:r>
        <w:rPr>
          <w:rFonts w:ascii="Times New Roman" w:cs="Times New Roman" w:eastAsia="Times New Roman" w:hAnsi="Times New Roman"/>
          <w:sz w:val="24"/>
          <w:szCs w:val="24"/>
        </w:rPr>
        <w:t xml:space="preserve">Section 126(1) provides that no officer shall impose any penalty for minor breaches of tax regulations or procedural requirements, or for an omission or mistake in documentation that is easily rectifiable and made without fraudulent intent or gross negligence. The Explanation treats a breach as ‘minor’ where the tax involved is less than Rs. 5,000, and an error as ‘easily rectifiable’ where it is apparent on the face of the record. Section 126(2) requires any penalty to be commensurate with the degree and severity of the breach, and Section 126(3) mandates a hearing.</w:t>
      </w:r>
    </w:p>
    <w:p>
      <w:pPr>
        <w:spacing w:after="140" w:line="276"/>
        <w:ind w:left="720"/>
        <w:jc w:val="both"/>
      </w:pPr>
      <w:r>
        <w:rPr>
          <w:rFonts w:ascii="Times New Roman" w:cs="Times New Roman" w:eastAsia="Times New Roman" w:hAnsi="Times New Roman"/>
          <w:b/>
          <w:bCs/>
          <w:i/>
          <w:iCs/>
          <w:sz w:val="24"/>
          <w:szCs w:val="24"/>
        </w:rPr>
        <w:t xml:space="preserve">(c) Application. </w:t>
      </w:r>
      <w:r>
        <w:rPr>
          <w:rFonts w:ascii="Times New Roman" w:cs="Times New Roman" w:eastAsia="Times New Roman" w:hAnsi="Times New Roman"/>
          <w:sz w:val="24"/>
          <w:szCs w:val="24"/>
        </w:rPr>
        <w:t xml:space="preserve">The lapse alleged is procedural, the tax (if any) involved is below Rs. 5,000, it was made without fraudulent intent or gross negligence, and it has been rectified. It is precisely the kind of minor, rectifiable breach for which Section 126 bars penalty. No penalty under Section 125 ought, therefore, to be imposed.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no penalty be imposed under Section 125, the lapse being a minor, easily rectifiable procedural breach made without fraudulent intent and already rectified, and so protected by Section 126;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2026-06-13T08:13:10.866Z</dcterms:created>
  <dcterms:modified xsi:type="dcterms:W3CDTF">2026-06-13T08:13:10.866Z</dcterms:modified>
</cp:coreProperties>
</file>

<file path=docProps/custom.xml><?xml version="1.0" encoding="utf-8"?>
<Properties xmlns="http://schemas.openxmlformats.org/officeDocument/2006/custom-properties" xmlns:vt="http://schemas.openxmlformats.org/officeDocument/2006/docPropsVTypes"/>
</file>