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DRC-01 proposing reversal of input tax credit on a truck as blocked under Section 17(5) — a goods carriage being outside the motor-vehicle block, which applies only to vehicles for transport of persons.</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 Truck registration and use particulars to be completed from the record.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treats the input tax credit on a truck as blocked under Section 17(5), citing the motor-vehicle bar. That bar, in Section 17(5)(a), applies only to motor vehicles for transport of persons with an approved seating capacity of not more than thirteen persons. A truck is a goods carriage, not a vehicle for transport of persons; it is wholly outside Section 17(5)(a). Used for the registered person’s business and capitalised as a fixed asset, the credit on it is admissible under Section 16.</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a dealer in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purchased a truck (Registration No.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from M/s ABC Ltd for use in its business — the transport of its goods — and availed credit on it; the truck is shown as a fixed asset in its balance sheet and is in business use. The notice proposes reversal as blocked credit under Section 17(5).</w:t>
      </w:r>
    </w:p>
    <w:p>
      <w:pPr>
        <w:pStyle w:val="Heading1"/>
        <w:spacing w:after="140" w:before="280"/>
      </w:pPr>
      <w:r>
        <w:rPr>
          <w:rFonts w:ascii="Times New Roman" w:cs="Times New Roman" w:eastAsia="Times New Roman" w:hAnsi="Times New Roman"/>
          <w:b/>
          <w:bCs/>
          <w:sz w:val="26"/>
          <w:szCs w:val="26"/>
        </w:rPr>
        <w:t xml:space="preserve">SUBMISSIONS</w:t>
      </w:r>
    </w:p>
    <w:p>
      <w:pPr>
        <w:spacing w:after="140" w:line="276"/>
        <w:ind w:left="720"/>
        <w:jc w:val="both"/>
      </w:pPr>
      <w:r>
        <w:rPr>
          <w:rFonts w:ascii="Times New Roman" w:cs="Times New Roman" w:eastAsia="Times New Roman" w:hAnsi="Times New Roman"/>
          <w:b/>
          <w:bCs/>
          <w:i/>
          <w:iCs/>
          <w:sz w:val="24"/>
          <w:szCs w:val="24"/>
        </w:rPr>
        <w:t xml:space="preserve">(a) The Section 17(5)(a) block is confined to vehicles for transport of persons. </w:t>
      </w:r>
      <w:r>
        <w:rPr>
          <w:rFonts w:ascii="Times New Roman" w:cs="Times New Roman" w:eastAsia="Times New Roman" w:hAnsi="Times New Roman"/>
          <w:sz w:val="24"/>
          <w:szCs w:val="24"/>
        </w:rPr>
        <w:t xml:space="preserve">Section 17(5)(a) blocks credit on “motor vehicles for transportation of persons having approved seating capacity of not more than thirteen persons (including the driver),” save for the stated exceptions (further supply, transportation of passengers, driving instruction). The bar is, by its terms, limited to passenger vehicles of that capacity.</w:t>
      </w:r>
    </w:p>
    <w:p>
      <w:pPr>
        <w:spacing w:after="140" w:line="276"/>
        <w:ind w:left="720"/>
        <w:jc w:val="both"/>
      </w:pPr>
      <w:r>
        <w:rPr>
          <w:rFonts w:ascii="Times New Roman" w:cs="Times New Roman" w:eastAsia="Times New Roman" w:hAnsi="Times New Roman"/>
          <w:b/>
          <w:bCs/>
          <w:i/>
          <w:iCs/>
          <w:sz w:val="24"/>
          <w:szCs w:val="24"/>
        </w:rPr>
        <w:t xml:space="preserve">(b) A truck is a goods carriage, outside the bar. </w:t>
      </w:r>
      <w:r>
        <w:rPr>
          <w:rFonts w:ascii="Times New Roman" w:cs="Times New Roman" w:eastAsia="Times New Roman" w:hAnsi="Times New Roman"/>
          <w:sz w:val="24"/>
          <w:szCs w:val="24"/>
        </w:rPr>
        <w:t xml:space="preserve">A truck is a goods carriage designed for the carriage of goods, not a vehicle for transportation of persons. It does not answer the description in Section 17(5)(a) at all, and no other clause of Section 17(5) blocks credit on a goods vehicle used in business. Credit on goods transport vehicles used for business is therefore admissible.</w:t>
      </w:r>
    </w:p>
    <w:p>
      <w:pPr>
        <w:spacing w:after="140" w:line="276"/>
        <w:ind w:left="720"/>
        <w:jc w:val="both"/>
      </w:pPr>
      <w:r>
        <w:rPr>
          <w:rFonts w:ascii="Times New Roman" w:cs="Times New Roman" w:eastAsia="Times New Roman" w:hAnsi="Times New Roman"/>
          <w:b/>
          <w:bCs/>
          <w:i/>
          <w:iCs/>
          <w:sz w:val="24"/>
          <w:szCs w:val="24"/>
        </w:rPr>
        <w:t xml:space="preserve">(c) Section 16 satisfied. </w:t>
      </w:r>
      <w:r>
        <w:rPr>
          <w:rFonts w:ascii="Times New Roman" w:cs="Times New Roman" w:eastAsia="Times New Roman" w:hAnsi="Times New Roman"/>
          <w:sz w:val="24"/>
          <w:szCs w:val="24"/>
        </w:rPr>
        <w:t xml:space="preserve">The truck was purchased for, and is used in, the course or furtherance of the registered person’s business (Section 16(1)); the invoice, payment and capitalisation are on record. The credit is admissible and the proposed reversal is unsustainable.</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a truck being a goods carriage outside the Section 17(5)(a) bar and the credit being admissible under Section 16;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2026-06-13T08:13:11.004Z</dcterms:created>
  <dcterms:modified xsi:type="dcterms:W3CDTF">2026-06-13T08:13:11.004Z</dcterms:modified>
</cp:coreProperties>
</file>

<file path=docProps/custom.xml><?xml version="1.0" encoding="utf-8"?>
<Properties xmlns="http://schemas.openxmlformats.org/officeDocument/2006/custom-properties" xmlns:vt="http://schemas.openxmlformats.org/officeDocument/2006/docPropsVTypes"/>
</file>