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i/>
          <w:iCs/>
          <w:sz w:val="24"/>
          <w:szCs w:val="24"/>
        </w:rPr>
        <w:t xml:space="preserve">[See Rule 108(1)]</w:t>
      </w:r>
    </w:p>
    <w:p>
      <w:pPr>
        <w:spacing w:after="120"/>
        <w:jc w:val="center"/>
      </w:pPr>
      <w:r>
        <w:rPr>
          <w:rFonts w:ascii="Times New Roman" w:cs="Times New Roman" w:eastAsia="Times New Roman" w:hAnsi="Times New Roman"/>
          <w:b/>
          <w:bCs/>
          <w:sz w:val="24"/>
          <w:szCs w:val="24"/>
        </w:rPr>
        <w:t xml:space="preserve">APPEAL TO THE APPELLATE AUTHORITY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Appeal against the order under Section 129(3). Party: M/s Noticedesk Technologies Private Limited; place of execution Mumbai. Pre-deposit for a Section 129(3) penalty order is a percentage of the penalty (proviso to Section 107(6)), not 10% of tax: twenty-five per cent for an order passed before 1 October 2025, reduced to ten per cent for an order passed on or after that date by the Finance Act, 2025 (Notification 16/2025-CT) — compute per the date of the order. All authorities tagged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 GSTIN / Temporary ID / UIN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[__________]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 Legal name of the appellant</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M/s Noticedesk Technologies Private Limited</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 Trade name, if any</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 Address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 Mumbai</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 Order No. &amp; date (FORM GST MOV-09 / DRC-07)</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 Designation of the officer passing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 Date of communication of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8. Name of the authorised representative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 Details of the case: brief issue / period / amount</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Penalty under Section 129(3) — e-way bill Part B deficiency — [period] — Rs. [____]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 Whether the appellant wishes to be heard in person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Yes</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11. Statement of facts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A</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12. Grounds of appeal</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B</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13. Prayer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grounds of appeal</w:t>
            </w:r>
          </w:p>
        </w:tc>
      </w:tr>
    </w:tbl>
    <w:p>
      <w:pPr>
        <w:spacing w:after="160" w:line="276"/>
        <w:jc w:val="both"/>
      </w:pPr>
      <w:r>
        <w:rPr>
          <w:rFonts w:ascii="Times New Roman" w:cs="Times New Roman" w:eastAsia="Times New Roman" w:hAnsi="Times New Roman"/>
          <w:sz w:val="24"/>
          <w:szCs w:val="24"/>
        </w:rPr>
        <w:t xml:space="preserve">Pre-deposit: the appellant has deposited the pre-deposit required by the proviso to Section 107(6) for an order under Section 129(3) — twenty-five per cent of the penalty for an order passed before 1 October 2025, or ten per cent of the penalty for an order passed on or after that date under the Finance Act, 2025 (challan enclosed) — whereupon recovery of the balance stands stayed under Section 107(7).</w:t>
      </w:r>
    </w:p>
    <w:p>
      <w:pPr>
        <w:pStyle w:val="Heading1"/>
        <w:spacing w:after="140" w:before="280"/>
      </w:pPr>
      <w:r>
        <w:rPr>
          <w:rFonts w:ascii="Times New Roman" w:cs="Times New Roman" w:eastAsia="Times New Roman" w:hAnsi="Times New Roman"/>
          <w:b/>
          <w:bCs/>
          <w:sz w:val="26"/>
          <w:szCs w:val="26"/>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appellant’s goods were moving under tax invoice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 e-way bill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Part A of the e-way bill was complete and correct in all respects; the deficiency alleged relates only to Part B — the vehicle number having been entered incorrectly / not updated owing to a clerical and technical lapse at the time of despatch.</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goods were intercepted; physical verification found the goods to tally fully with the invoice in description, quantity and value, and the tax stood charged and paid. The conveyance actually carrying the goods was the one named in the transport documents. A penalty under Section 129(3) was nonetheless imposed by the impugned order, computed on the consignment.</w:t>
      </w:r>
    </w:p>
    <w:p>
      <w:pPr>
        <w:pStyle w:val="Heading1"/>
        <w:spacing w:after="140" w:before="280"/>
      </w:pPr>
      <w:r>
        <w:rPr>
          <w:rFonts w:ascii="Times New Roman" w:cs="Times New Roman" w:eastAsia="Times New Roman" w:hAnsi="Times New Roman"/>
          <w:b/>
          <w:bCs/>
          <w:sz w:val="26"/>
          <w:szCs w:val="26"/>
        </w:rPr>
        <w:t xml:space="preserve">ANNEXURE B — GROUNDS OF APPEAL</w:t>
      </w:r>
    </w:p>
    <w:p>
      <w:pPr>
        <w:pStyle w:val="Heading2"/>
        <w:spacing w:after="120" w:before="200"/>
      </w:pPr>
      <w:r>
        <w:rPr>
          <w:rFonts w:ascii="Times New Roman" w:cs="Times New Roman" w:eastAsia="Times New Roman" w:hAnsi="Times New Roman"/>
          <w:b/>
          <w:bCs/>
          <w:sz w:val="24"/>
          <w:szCs w:val="24"/>
        </w:rPr>
        <w:t xml:space="preserve">GROUND 1: A PART B LAPSE WITHOUT INTENT TO EVADE CANNOT SUSTAIN A SECTION 129 PENALTY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consistent view of the Allahabad High Court is that non-filling or misdescription in Part B of the e-way bill, without any intent to evade tax, is a technical breach that cannot attract penalty under Section 129(3): </w:t>
      </w:r>
      <w:r>
        <w:rPr>
          <w:rFonts w:ascii="Times New Roman" w:cs="Times New Roman" w:eastAsia="Times New Roman" w:hAnsi="Times New Roman"/>
          <w:i/>
          <w:iCs/>
          <w:sz w:val="24"/>
          <w:szCs w:val="24"/>
        </w:rPr>
        <w:t xml:space="preserve">M/s Roli Enterprises v. State of U.P.</w:t>
      </w:r>
      <w:r>
        <w:rPr>
          <w:rFonts w:ascii="Times New Roman" w:cs="Times New Roman" w:eastAsia="Times New Roman" w:hAnsi="Times New Roman"/>
          <w:sz w:val="24"/>
          <w:szCs w:val="24"/>
        </w:rPr>
        <w:t xml:space="preserve">, Writ Tax No. 937 of 2022, dated 16 January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Precision Tools India v. State of U.P.</w:t>
      </w:r>
      <w:r>
        <w:rPr>
          <w:rFonts w:ascii="Times New Roman" w:cs="Times New Roman" w:eastAsia="Times New Roman" w:hAnsi="Times New Roman"/>
          <w:sz w:val="24"/>
          <w:szCs w:val="24"/>
        </w:rPr>
        <w:t xml:space="preserve">, Writ Tax No. 415 of 2023, dated 29 January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M/s Varun Beverages Ltd v. State of U.P.</w:t>
      </w:r>
      <w:r>
        <w:rPr>
          <w:rFonts w:ascii="Times New Roman" w:cs="Times New Roman" w:eastAsia="Times New Roman" w:hAnsi="Times New Roman"/>
          <w:sz w:val="24"/>
          <w:szCs w:val="24"/>
        </w:rPr>
        <w:t xml:space="preserve">, Writ Tax No. 129 of 2024, dated 7 February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following </w:t>
      </w:r>
      <w:r>
        <w:rPr>
          <w:rFonts w:ascii="Times New Roman" w:cs="Times New Roman" w:eastAsia="Times New Roman" w:hAnsi="Times New Roman"/>
          <w:i/>
          <w:iCs/>
          <w:sz w:val="24"/>
          <w:szCs w:val="24"/>
        </w:rPr>
        <w:t xml:space="preserve">VSL Alloys (India) Pvt Ltd v. State of U.P.</w:t>
      </w:r>
      <w:r>
        <w:rPr>
          <w:rFonts w:ascii="Times New Roman" w:cs="Times New Roman" w:eastAsia="Times New Roman" w:hAnsi="Times New Roman"/>
          <w:sz w:val="24"/>
          <w:szCs w:val="24"/>
        </w:rPr>
        <w:t xml:space="preserve">, Writ Tax No. 637 of 2018, dated 13 April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In each, the invoice and documents identified the goods and the conveyance, and the Part B lapse was held technical only.</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Supreme Court has affirmed that intent to evade cannot be presumed from an e-way bill deficiency: </w:t>
      </w:r>
      <w:r>
        <w:rPr>
          <w:rFonts w:ascii="Times New Roman" w:cs="Times New Roman" w:eastAsia="Times New Roman" w:hAnsi="Times New Roman"/>
          <w:i/>
          <w:iCs/>
          <w:sz w:val="24"/>
          <w:szCs w:val="24"/>
        </w:rPr>
        <w:t xml:space="preserve">Assistant Commissioner (ST) v. Satyam Shivam Papers Pvt Ltd</w:t>
      </w:r>
      <w:r>
        <w:rPr>
          <w:rFonts w:ascii="Times New Roman" w:cs="Times New Roman" w:eastAsia="Times New Roman" w:hAnsi="Times New Roman"/>
          <w:sz w:val="24"/>
          <w:szCs w:val="24"/>
        </w:rPr>
        <w:t xml:space="preserve">, SLP(C) No. 21132 of 2021, order dated 12 January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affirming the Telangana High Court in W.P. No. 9688 of 2020, dated 2 June 2021</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with costs on the Department. Here, the goods matched the invoice, the tax was charged and paid, and the same conveyance carried the goods — no evasion is even alleged with material.</w:t>
      </w:r>
    </w:p>
    <w:p>
      <w:pPr>
        <w:pStyle w:val="Heading2"/>
        <w:spacing w:after="120" w:before="200"/>
      </w:pPr>
      <w:r>
        <w:rPr>
          <w:rFonts w:ascii="Times New Roman" w:cs="Times New Roman" w:eastAsia="Times New Roman" w:hAnsi="Times New Roman"/>
          <w:b/>
          <w:bCs/>
          <w:sz w:val="24"/>
          <w:szCs w:val="24"/>
        </w:rPr>
        <w:t xml:space="preserve">GROUND 2: PROPORTIONALITY — CIRCULAR 64/38/2018 AND SECTIONS 125/126</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CBIC Circular No. 64/38/2018-GST dated 14 September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directs that minor errors — including an error of one or two digits/characters in the vehicle number — attract only a penalty of Rs. 500 each under the CGST and SGST Acts (Rs. 1,000 in all) under Section 125, and not proceedings under Section 129. To the extent the Part B entry is a clerical slip of this character, the Circular applies directly. Section 126 reinforces that a minor, easily rectifiable breach without fraudulent intent or gross negligence is not to be penalised, and any penalty must be commensurate with the breach.</w:t>
      </w:r>
    </w:p>
    <w:p>
      <w:pPr>
        <w:pStyle w:val="ListParagraph"/>
        <w:numPr>
          <w:ilvl w:val="0"/>
          <w:numId w:val="3"/>
        </w:numPr>
        <w:spacing w:after="160" w:line="276"/>
        <w:jc w:val="both"/>
      </w:pPr>
      <w:r>
        <w:rPr>
          <w:rFonts w:ascii="Times New Roman" w:cs="Times New Roman" w:eastAsia="Times New Roman" w:hAnsi="Times New Roman"/>
          <w:i/>
          <w:iCs/>
          <w:sz w:val="24"/>
          <w:szCs w:val="24"/>
        </w:rPr>
        <w:t xml:space="preserve">Fair disclosure: </w:t>
      </w:r>
      <w:r>
        <w:rPr>
          <w:rFonts w:ascii="Times New Roman" w:cs="Times New Roman" w:eastAsia="Times New Roman" w:hAnsi="Times New Roman"/>
          <w:sz w:val="24"/>
          <w:szCs w:val="24"/>
        </w:rPr>
        <w:t xml:space="preserve">the appellant notes that the Madhya Pradesh High Court in </w:t>
      </w:r>
      <w:r>
        <w:rPr>
          <w:rFonts w:ascii="Times New Roman" w:cs="Times New Roman" w:eastAsia="Times New Roman" w:hAnsi="Times New Roman"/>
          <w:i/>
          <w:iCs/>
          <w:sz w:val="24"/>
          <w:szCs w:val="24"/>
        </w:rPr>
        <w:t xml:space="preserve">Gati Kintetsu Express Pvt Ltd</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declined relief where Part B was wholly unfilled on a long-distance movement. That decision is distinguishable: there the obligation to complete Part B was mandatory for the distance involved and remained wholly unperformed; here Part A was complete, the lapse is a clerical misdescription attributable to a technical/inadvertent error, the documents identified the actual conveyance, and no finding of intent to evade exists. The Allahabad line and the Supreme Court’s approach in Satyam Shivam govern.</w:t>
      </w:r>
    </w:p>
    <w:p>
      <w:pPr>
        <w:pStyle w:val="Heading2"/>
        <w:spacing w:after="120" w:before="200"/>
      </w:pPr>
      <w:r>
        <w:rPr>
          <w:rFonts w:ascii="Times New Roman" w:cs="Times New Roman" w:eastAsia="Times New Roman" w:hAnsi="Times New Roman"/>
          <w:b/>
          <w:bCs/>
          <w:sz w:val="24"/>
          <w:szCs w:val="24"/>
        </w:rPr>
        <w:t xml:space="preserve">GROUND 3: QUANTUM — WITHOUT PREJUDICE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the penalty as computed is excessive: under Section 129(1)(a) (as substituted w.e.f. 1 January 2022) the penalty where the owner comes forward is 200% of the tax payable, and the computation must proceed on the tax referable to the goods in question, correctly determined; any computation beyond the statutory measure is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Learned Appellate Authority be pleased to: (i) SET ASIDE the impugned order under Section 129(3), the Part B lapse being a technical/clerical breach without any intent to evade tax; (ii) in the alternative, RESTRICT the consequence to the penalty of Rs. 1,000 under Section 125 in terms of Circular 64/38/2018 read with Section 126; (iii) DIRECT refund of amounts recovered/deposited beyond what is lawfully due; (iv) GRANT a personal hearing; and (v) PASS such further orders as are just.</w:t>
      </w:r>
    </w:p>
    <w:p>
      <w:pPr>
        <w:spacing w:after="160" w:line="276"/>
        <w:jc w:val="both"/>
      </w:pPr>
      <w:r>
        <w:rPr>
          <w:rFonts w:ascii="Times New Roman" w:cs="Times New Roman" w:eastAsia="Times New Roman" w:hAnsi="Times New Roman"/>
          <w:i/>
          <w:iCs/>
          <w:sz w:val="24"/>
          <w:szCs w:val="24"/>
        </w:rPr>
        <w:t xml:space="preserve">The appellant reserves the right to file additional submissions. Nothing herein waives any right or defence.</w:t>
      </w:r>
    </w:p>
    <w:p>
      <w:pPr>
        <w:spacing w:after="160" w:line="276"/>
        <w:jc w:val="both"/>
      </w:pPr>
      <w:r>
        <w:rPr>
          <w:rFonts w:ascii="Times New Roman" w:cs="Times New Roman" w:eastAsia="Times New Roman" w:hAnsi="Times New Roman"/>
          <w:b/>
          <w:bCs/>
          <w:i/>
          <w:iCs/>
          <w:sz w:val="24"/>
          <w:szCs w:val="24"/>
        </w:rPr>
        <w:t xml:space="preserve">Note on the Appellate Tribunal (for the record): </w:t>
      </w:r>
      <w:r>
        <w:rPr>
          <w:rFonts w:ascii="Times New Roman" w:cs="Times New Roman" w:eastAsia="Times New Roman" w:hAnsi="Times New Roman"/>
          <w:i/>
          <w:iCs/>
          <w:sz w:val="24"/>
          <w:szCs w:val="24"/>
        </w:rPr>
        <w:t xml:space="preserve">the GST Appellate Tribunal is now operational (benches functional from February 2026), and for first-appeal/revision orders communicated before 1 April 2026 the appeal must be filed by 30 June 2026 (Notification S.O. 4220(E) dated 17 September 2025). On filing the Tribunal appeal with the pre-deposit under Section 112(8) — 10% of the disputed tax (in addition to the 10% paid at the first-appeal stage), and 10% of the penalty in a penalty-only matter — recovery of the balance is stayed under Section 112(9). The exact appeal route, limitation and pre-deposit must be confirmed against the order and the current notifications before filing.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2026-06-13T08:15:41.858Z</dcterms:created>
  <dcterms:modified xsi:type="dcterms:W3CDTF">2026-06-13T08:15:41.858Z</dcterms:modified>
</cp:coreProperties>
</file>

<file path=docProps/custom.xml><?xml version="1.0" encoding="utf-8"?>
<Properties xmlns="http://schemas.openxmlformats.org/officeDocument/2006/custom-properties" xmlns:vt="http://schemas.openxmlformats.org/officeDocument/2006/docPropsVTypes"/>
</file>