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i/>
          <w:iCs/>
          <w:sz w:val="24"/>
          <w:szCs w:val="24"/>
        </w:rPr>
        <w:t xml:space="preserve">[See Rule 108(1) of the CGST/SGST Rules, 2017]</w:t>
      </w:r>
    </w:p>
    <w:p>
      <w:pPr>
        <w:spacing w:after="120"/>
        <w:jc w:val="center"/>
      </w:pPr>
      <w:r>
        <w:rPr>
          <w:rFonts w:ascii="Times New Roman" w:cs="Times New Roman" w:eastAsia="Times New Roman" w:hAnsi="Times New Roman"/>
          <w:b/>
          <w:bCs/>
          <w:sz w:val="24"/>
          <w:szCs w:val="24"/>
        </w:rPr>
        <w:t xml:space="preserve">APPEAL TO THE APPELLATE AUTHORITY</w:t>
      </w:r>
    </w:p>
    <w:p>
      <w:pPr>
        <w:spacing w:after="120"/>
      </w:pPr>
    </w:p>
    <w:p>
      <w:pPr>
        <w:spacing w:after="120"/>
        <w:jc w:val="center"/>
      </w:pPr>
      <w:r>
        <w:rPr>
          <w:rFonts w:ascii="Times New Roman" w:cs="Times New Roman" w:eastAsia="Times New Roman" w:hAnsi="Times New Roman"/>
          <w:b/>
          <w:bCs/>
          <w:sz w:val="24"/>
          <w:szCs w:val="24"/>
        </w:rPr>
        <w:t xml:space="preserve">BEFORE THE LEARNED APPELLATE AUTHORITY</w:t>
      </w:r>
    </w:p>
    <w:p>
      <w:pPr>
        <w:spacing w:after="120"/>
        <w:jc w:val="center"/>
      </w:pPr>
      <w:r>
        <w:rPr>
          <w:rFonts w:ascii="Times New Roman" w:cs="Times New Roman" w:eastAsia="Times New Roman" w:hAnsi="Times New Roman"/>
          <w:b/>
          <w:bCs/>
          <w:sz w:val="24"/>
          <w:szCs w:val="24"/>
        </w:rPr>
        <w:t xml:space="preserve">[DESIGNATION / OFFICE OF THE APPELLATE AUTHORITY]  |  [STATION]</w:t>
      </w:r>
    </w:p>
    <w:p>
      <w:pPr>
        <w:spacing w:after="80"/>
      </w:pPr>
    </w:p>
    <w:p>
      <w:pPr>
        <w:spacing w:after="120"/>
        <w:jc w:val="center"/>
      </w:pPr>
      <w:r>
        <w:rPr>
          <w:rFonts w:ascii="Times New Roman" w:cs="Times New Roman" w:eastAsia="Times New Roman" w:hAnsi="Times New Roman"/>
          <w:b/>
          <w:bCs/>
          <w:sz w:val="24"/>
          <w:szCs w:val="24"/>
        </w:rPr>
        <w:t xml:space="preserve">IN THE MATTER OF:</w:t>
      </w:r>
    </w:p>
    <w:p>
      <w:pPr>
        <w:spacing w:after="120"/>
        <w:jc w:val="center"/>
      </w:pPr>
      <w:r>
        <w:rPr>
          <w:rFonts w:ascii="Times New Roman" w:cs="Times New Roman" w:eastAsia="Times New Roman" w:hAnsi="Times New Roman"/>
          <w:sz w:val="24"/>
          <w:szCs w:val="24"/>
        </w:rPr>
        <w:t xml:space="preserve">Impugned Order in Form GST DRC-07, Reference No.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[________]</w:t>
      </w:r>
    </w:p>
    <w:p>
      <w:pPr>
        <w:spacing w:after="120"/>
        <w:jc w:val="center"/>
      </w:pPr>
      <w:r>
        <w:rPr>
          <w:rFonts w:ascii="Times New Roman" w:cs="Times New Roman" w:eastAsia="Times New Roman" w:hAnsi="Times New Roman"/>
          <w:sz w:val="24"/>
          <w:szCs w:val="24"/>
        </w:rPr>
        <w:t xml:space="preserve">passed by the Proper Officer of State Tax, </w:t>
      </w:r>
      <w:r>
        <w:rPr>
          <w:rFonts w:ascii="Times New Roman" w:cs="Times New Roman" w:eastAsia="Times New Roman" w:hAnsi="Times New Roman"/>
          <w:b/>
          <w:bCs/>
          <w:sz w:val="24"/>
          <w:szCs w:val="24"/>
        </w:rPr>
        <w:t xml:space="preserve">[Designation / Charge]</w:t>
      </w:r>
    </w:p>
    <w:p>
      <w:pPr>
        <w:spacing w:after="120"/>
        <w:jc w:val="center"/>
      </w:pPr>
      <w:r>
        <w:rPr>
          <w:rFonts w:ascii="Times New Roman" w:cs="Times New Roman" w:eastAsia="Times New Roman" w:hAnsi="Times New Roman"/>
          <w:sz w:val="24"/>
          <w:szCs w:val="24"/>
        </w:rPr>
        <w:t xml:space="preserve">(arising out of Show Cause Notice in Form GST DRC-01, Reference No. </w:t>
      </w:r>
      <w:r>
        <w:rPr>
          <w:rFonts w:ascii="Times New Roman" w:cs="Times New Roman" w:eastAsia="Times New Roman" w:hAnsi="Times New Roman"/>
          <w:b/>
          <w:bCs/>
          <w:sz w:val="24"/>
          <w:szCs w:val="24"/>
        </w:rPr>
        <w:t xml:space="preserve">[______]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[______]</w:t>
      </w:r>
      <w:r>
        <w:rPr>
          <w:rFonts w:ascii="Times New Roman" w:cs="Times New Roman" w:eastAsia="Times New Roman" w:hAnsi="Times New Roman"/>
          <w:sz w:val="24"/>
          <w:szCs w:val="24"/>
        </w:rPr>
        <w:t xml:space="preserve">)</w:t>
      </w:r>
    </w:p>
    <w:p>
      <w:pPr>
        <w:spacing w:after="80"/>
      </w:pPr>
    </w:p>
    <w:p>
      <w:pPr>
        <w:spacing w:after="120"/>
        <w:jc w:val="center"/>
      </w:pPr>
      <w:r>
        <w:rPr>
          <w:rFonts w:ascii="Times New Roman" w:cs="Times New Roman" w:eastAsia="Times New Roman" w:hAnsi="Times New Roman"/>
          <w:b/>
          <w:bCs/>
          <w:sz w:val="24"/>
          <w:szCs w:val="24"/>
        </w:rPr>
        <w:t xml:space="preserve">AND IN THE MATTER OF:</w:t>
      </w:r>
    </w:p>
    <w:p>
      <w:pPr>
        <w:spacing w:after="120"/>
        <w:jc w:val="center"/>
      </w:pPr>
      <w:r>
        <w:rPr>
          <w:rFonts w:ascii="Times New Roman" w:cs="Times New Roman" w:eastAsia="Times New Roman" w:hAnsi="Times New Roman"/>
          <w:b/>
          <w:bCs/>
          <w:sz w:val="24"/>
          <w:szCs w:val="24"/>
        </w:rPr>
        <w:t xml:space="preserve">M/s Noticedesk Technologies Private Limited</w:t>
      </w:r>
      <w:r>
        <w:rPr>
          <w:rFonts w:ascii="Times New Roman" w:cs="Times New Roman" w:eastAsia="Times New Roman" w:hAnsi="Times New Roman"/>
          <w:sz w:val="24"/>
          <w:szCs w:val="24"/>
        </w:rPr>
        <w:t xml:space="preserve"> — Appellant</w:t>
      </w:r>
    </w:p>
    <w:p>
      <w:pPr>
        <w:spacing w:after="120"/>
        <w:jc w:val="center"/>
      </w:pPr>
      <w:r>
        <w:rPr>
          <w:rFonts w:ascii="Times New Roman" w:cs="Times New Roman" w:eastAsia="Times New Roman" w:hAnsi="Times New Roman"/>
          <w:sz w:val="24"/>
          <w:szCs w:val="24"/>
        </w:rPr>
        <w:t xml:space="preserve">GSTIN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[Registered Address]</w:t>
      </w:r>
      <w:r>
        <w:rPr>
          <w:rFonts w:ascii="Times New Roman" w:cs="Times New Roman" w:eastAsia="Times New Roman" w:hAnsi="Times New Roman"/>
          <w:sz w:val="24"/>
          <w:szCs w:val="24"/>
        </w:rPr>
        <w:t xml:space="preserve">  |  through its Authorised Representative</w:t>
      </w:r>
    </w:p>
    <w:p>
      <w:pPr>
        <w:spacing w:after="120"/>
      </w:pPr>
    </w:p>
    <w:p>
      <w:pPr>
        <w:spacing w:after="120"/>
        <w:jc w:val="center"/>
      </w:pPr>
      <w:r>
        <w:rPr>
          <w:rFonts w:ascii="Times New Roman" w:cs="Times New Roman" w:eastAsia="Times New Roman" w:hAnsi="Times New Roman"/>
          <w:b/>
          <w:bCs/>
          <w:sz w:val="24"/>
          <w:szCs w:val="24"/>
        </w:rPr>
        <w:t xml:space="preserve">MEMORANDUM OF APPEAL, STATEMENT OF FACTS AND GROUNDS OF APPEAL</w:t>
      </w:r>
    </w:p>
    <w:p>
      <w:pPr>
        <w:spacing w:after="120"/>
        <w:jc w:val="center"/>
      </w:pPr>
      <w:r>
        <w:rPr>
          <w:rFonts w:ascii="Times New Roman" w:cs="Times New Roman" w:eastAsia="Times New Roman" w:hAnsi="Times New Roman"/>
          <w:b/>
          <w:bCs/>
          <w:sz w:val="24"/>
          <w:szCs w:val="24"/>
        </w:rPr>
        <w:t xml:space="preserve">FILED ON BEHALF OF THE APPELLANT, M/s NOTICEDESK TECHNOLOGIES PRIVATE LIMITED</w:t>
      </w:r>
    </w:p>
    <w:p>
      <w:pPr>
        <w:spacing w:after="160" w:line="276"/>
        <w:jc w:val="both"/>
      </w:pPr>
      <w:r>
        <w:rPr>
          <w:rFonts w:ascii="Times New Roman" w:cs="Times New Roman" w:eastAsia="Times New Roman" w:hAnsi="Times New Roman"/>
          <w:b/>
          <w:bCs/>
          <w:i/>
          <w:iCs/>
          <w:sz w:val="24"/>
          <w:szCs w:val="24"/>
        </w:rPr>
        <w:t xml:space="preserve">Drafting note (to be removed before filing): </w:t>
      </w:r>
      <w:r>
        <w:rPr>
          <w:rFonts w:ascii="Times New Roman" w:cs="Times New Roman" w:eastAsia="Times New Roman" w:hAnsi="Times New Roman"/>
          <w:i/>
          <w:iCs/>
          <w:sz w:val="24"/>
          <w:szCs w:val="24"/>
        </w:rPr>
        <w:t xml:space="preserve">Particulars shown in bold within square brackets are placeholders to be completed and confirmed against the certified record before filing. Every figure, period, party name, GSTIN, notice/order reference and date must be reproduced exactly from the impugned order and the appellant’s record. Authorities carried forward from the appellant’s earlier draft and every authority marked </w:t>
      </w:r>
      <w:r>
        <w:rPr>
          <w:rFonts w:ascii="Times New Roman" w:cs="Times New Roman" w:eastAsia="Times New Roman" w:hAnsi="Times New Roman"/>
          <w:b/>
          <w:bCs/>
          <w:i/>
          <w:iCs/>
          <w:sz w:val="24"/>
          <w:szCs w:val="24"/>
        </w:rPr>
        <w:t xml:space="preserve">[VERIFY]</w:t>
      </w:r>
      <w:r>
        <w:rPr>
          <w:rFonts w:ascii="Times New Roman" w:cs="Times New Roman" w:eastAsia="Times New Roman" w:hAnsi="Times New Roman"/>
          <w:i/>
          <w:iCs/>
          <w:sz w:val="24"/>
          <w:szCs w:val="24"/>
        </w:rPr>
        <w:t xml:space="preserve"> must be given a final reporter-check (case name, citation, court, paragraph) before this appeal is lodged.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This appeal challenges an order in Form GST DRC-07 by which input tax credit of Rs. 10, legitimately availed by the Appellant on a genuine inward supply received in March 2018 from M/s ABC Ltd, has been reversed with interest and penalty. The credit has been disturbed for one reason only: that the registration of the Supplier was, in February 2020 — nearly two years after the transaction — cancelled by the Department with retrospective effect from July 2017, a date anterior even to the supply. No infirmity in the transaction itself is alleged; its genuineness, the receipt of the goods, and payment of the value and tax through banking channels are not in dispute.</w:t>
      </w:r>
    </w:p>
    <w:p>
      <w:pPr>
        <w:spacing w:after="160" w:line="276"/>
        <w:jc w:val="both"/>
      </w:pPr>
      <w:r>
        <w:rPr>
          <w:rFonts w:ascii="Times New Roman" w:cs="Times New Roman" w:eastAsia="Times New Roman" w:hAnsi="Times New Roman"/>
          <w:sz w:val="24"/>
          <w:szCs w:val="24"/>
        </w:rPr>
        <w:t xml:space="preserve">The short question for determination is whether a bona fide recipient, who satisfied every condition of Section 16 of the CGST Act when the credit was availed and dealt with a supplier then validly registered on the common portal, can be visited with reversal of that credit because the Department subsequently cancelled the supplier’s registration with retrospective effect. The Appellant respectfully submits that it cannot, and that the Impugned Order proceeds on a condition unknown to the statute.</w:t>
      </w:r>
    </w:p>
    <w:p>
      <w:pPr>
        <w:spacing w:after="160" w:line="276"/>
        <w:jc w:val="both"/>
      </w:pPr>
      <w:r>
        <w:rPr>
          <w:rFonts w:ascii="Times New Roman" w:cs="Times New Roman" w:eastAsia="Times New Roman" w:hAnsi="Times New Roman"/>
          <w:sz w:val="24"/>
          <w:szCs w:val="24"/>
        </w:rPr>
        <w:t xml:space="preserve">The appeal is pressed on grounds each of which is independently sufficient.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invocation of Section 74 is without jurisdiction, there being no fraud, wilful misstatement or suppression — every primary fact having been disclosed in, and indeed auto-populated into, the returns.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Impugned Order is a non-speaking order that does not deal with the Appellant’s reply. </w:t>
      </w: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Section 16 read with Rule 36 imposes no condition of continuing supplier registration, and for periods before 1 October 2022 Section 41 contained no machinery for recipient-side reversal on a supplier’s default. </w:t>
      </w:r>
      <w:r>
        <w:rPr>
          <w:rFonts w:ascii="Times New Roman" w:cs="Times New Roman" w:eastAsia="Times New Roman" w:hAnsi="Times New Roman"/>
          <w:b/>
          <w:bCs/>
          <w:sz w:val="24"/>
          <w:szCs w:val="24"/>
        </w:rPr>
        <w:t xml:space="preserve">Fourth</w:t>
      </w:r>
      <w:r>
        <w:rPr>
          <w:rFonts w:ascii="Times New Roman" w:cs="Times New Roman" w:eastAsia="Times New Roman" w:hAnsi="Times New Roman"/>
          <w:sz w:val="24"/>
          <w:szCs w:val="24"/>
        </w:rPr>
        <w:t xml:space="preserve">, a consistent line of High Court authority protects the bona fide recipient against the supplier’s retrospective cancellation. </w:t>
      </w:r>
      <w:r>
        <w:rPr>
          <w:rFonts w:ascii="Times New Roman" w:cs="Times New Roman" w:eastAsia="Times New Roman" w:hAnsi="Times New Roman"/>
          <w:b/>
          <w:bCs/>
          <w:sz w:val="24"/>
          <w:szCs w:val="24"/>
        </w:rPr>
        <w:t xml:space="preserve">Fifth</w:t>
      </w:r>
      <w:r>
        <w:rPr>
          <w:rFonts w:ascii="Times New Roman" w:cs="Times New Roman" w:eastAsia="Times New Roman" w:hAnsi="Times New Roman"/>
          <w:sz w:val="24"/>
          <w:szCs w:val="24"/>
        </w:rPr>
        <w:t xml:space="preserve">, recovery must be made first from the defaulting supplier, and the Appellant has discharged its burden under Section 155. </w:t>
      </w:r>
      <w:r>
        <w:rPr>
          <w:rFonts w:ascii="Times New Roman" w:cs="Times New Roman" w:eastAsia="Times New Roman" w:hAnsi="Times New Roman"/>
          <w:b/>
          <w:bCs/>
          <w:sz w:val="24"/>
          <w:szCs w:val="24"/>
        </w:rPr>
        <w:t xml:space="preserve">Sixth and seventh</w:t>
      </w:r>
      <w:r>
        <w:rPr>
          <w:rFonts w:ascii="Times New Roman" w:cs="Times New Roman" w:eastAsia="Times New Roman" w:hAnsi="Times New Roman"/>
          <w:sz w:val="24"/>
          <w:szCs w:val="24"/>
        </w:rPr>
        <w:t xml:space="preserve">, and without prejudice, the Appellant invokes the alternative statutory relief under Sections 16(5)/16(6) and assails the consequential interest and penalty.</w:t>
      </w:r>
    </w:p>
    <w:p>
      <w:pPr>
        <w:spacing w:after="160" w:line="276"/>
        <w:jc w:val="both"/>
      </w:pPr>
      <w:r>
        <w:rPr>
          <w:rFonts w:ascii="Times New Roman" w:cs="Times New Roman" w:eastAsia="Times New Roman" w:hAnsi="Times New Roman"/>
          <w:sz w:val="24"/>
          <w:szCs w:val="24"/>
        </w:rPr>
        <w:t xml:space="preserve">The Appellant accordingly prays that the Impugned Order be set aside, the demand quashed, and the credit upheld, with a personal hearing before any order adverse to the Appellant is passed.</w:t>
      </w:r>
    </w:p>
    <w:p>
      <w:pPr>
        <w:pStyle w:val="Heading1"/>
        <w:spacing w:after="140" w:before="280"/>
      </w:pPr>
      <w:r>
        <w:rPr>
          <w:rFonts w:ascii="Times New Roman" w:cs="Times New Roman" w:eastAsia="Times New Roman" w:hAnsi="Times New Roman"/>
          <w:b/>
          <w:bCs/>
          <w:sz w:val="26"/>
          <w:szCs w:val="26"/>
        </w:rPr>
        <w:t xml:space="preserve">LIST OF DATES AND EVENTS</w:t>
      </w:r>
    </w:p>
    <w:p>
      <w:pPr>
        <w:spacing w:after="160" w:line="276"/>
        <w:jc w:val="both"/>
      </w:pPr>
      <w:r>
        <w:rPr>
          <w:rFonts w:ascii="Times New Roman" w:cs="Times New Roman" w:eastAsia="Times New Roman" w:hAnsi="Times New Roman"/>
          <w:i/>
          <w:iCs/>
          <w:sz w:val="24"/>
          <w:szCs w:val="24"/>
        </w:rPr>
        <w:t xml:space="preserve">The dates below are to be completed from the certified record before filing; they correspond to the procedural chronology in the Statement of Facts (Annexure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Event</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March 2018</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Appellant purchases goods/services from M/s ABC Ltd (then a registered supplier); transaction value Rs. 100, input tax Rs. 10 availed as ITC; payment through banking channels; credit reflected in GSTR-2A/2B; Supplier files GSTR-3B for the period.</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 Feb 2020</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Department cancels the Supplier’s registration with retrospective effect from [Date] July 2017 — a date prior to the transaction.</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Show Cause Notice in Form GST DRC-01 (Ref. [____]) issued, proposing reversal of the ITC under Section 73/74 with interest and penalty.</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Appellant files detailed reply to the SCN, with its complete documentary trail.</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Personal hearing attended through the Authorised Representative.</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Impugned Order in Form GST DRC-07 (Ref. [____]) passed, confirming the demand.</w:t>
            </w:r>
          </w:p>
        </w:tc>
      </w:tr>
      <w:tr>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Present appeal filed under Section 107, within limitation, with 10% pre-deposit under Section 107(6).</w:t>
            </w:r>
          </w:p>
        </w:tc>
      </w:tr>
    </w:tbl>
    <w:p>
      <w:pPr>
        <w:pStyle w:val="Heading1"/>
        <w:spacing w:after="140" w:before="280"/>
      </w:pPr>
      <w:r>
        <w:rPr>
          <w:rFonts w:ascii="Times New Roman" w:cs="Times New Roman" w:eastAsia="Times New Roman" w:hAnsi="Times New Roman"/>
          <w:b/>
          <w:bCs/>
          <w:sz w:val="26"/>
          <w:szCs w:val="26"/>
        </w:rPr>
        <w:t xml:space="preserve">INDEX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w:t>
            </w:r>
          </w:p>
        </w:tc>
        <w:tc>
          <w:tcPr>
            <w:tcW w:type="dxa" w:w="79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Heading</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Synopsis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List of Dates and Events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List of Defined Terms and Abbreviations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Form</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Form GST APL-01 (Statutory Particulars)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Statement of Facts (Annexure A) — Variant A (adjudication) / Variant B (investigation)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B</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Grounds of Appeal (Annexure B)</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Preliminary Submissions, Formal Denial and Reservation of Rights</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1 — Invocation of Section 74 Without Jurisdiction; No Fraud / Wilful Misstatement / Suppression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III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2 — Non-Speaking Order Passed in Breach of Natural Justice</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IV</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3 — Section 16 read with Rule 36 Imposes No Condition of Continuing Supplier Registration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4 — Bona Fide Recipient Protected Against Retrospective Cancellation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5 — Recovery First From Defaulting Supplier; Section 155 Burden Discharged</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VII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6 — Without Prejudice: Statutory Relief under Sections 16(5) and 16(6)</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VIII</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 7 — Without Prejudice: Interest and Penalty</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Schedule of Authorities Relied Upon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Prayer</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Verification and Declaration</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c>
          <w:tcPr>
            <w:tcW w:type="dxa" w:w="7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Index of Annexures</w:t>
            </w:r>
          </w:p>
        </w:tc>
      </w:tr>
    </w:tbl>
    <w:p>
      <w:pPr>
        <w:pStyle w:val="Heading1"/>
        <w:spacing w:after="140" w:before="280"/>
      </w:pPr>
      <w:r>
        <w:rPr>
          <w:rFonts w:ascii="Times New Roman" w:cs="Times New Roman" w:eastAsia="Times New Roman" w:hAnsi="Times New Roman"/>
          <w:b/>
          <w:bCs/>
          <w:sz w:val="26"/>
          <w:szCs w:val="26"/>
        </w:rPr>
        <w:t xml:space="preserve">LIST OF DEFINED TERMS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Term</w:t>
            </w:r>
          </w:p>
        </w:tc>
        <w:tc>
          <w:tcPr>
            <w:tcW w:type="dxa" w:w="63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Meaning</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Appellant / the Company</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M/s Noticedesk Technologies Private Limited</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Supplier</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M/s ABC Ltd (the supplier from whom the disputed inward supply was received)</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Act / CGST Act</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Central Goods and Services Tax Act, 2017 (and the corresponding SGST Act)</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Rules</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Central Goods and Services Tax Rules, 2017</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SCN</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Show Cause Notice in Form GST DRC-01, Reference No. [____] dated [____]</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Impugned Order</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in Form GST DRC-07, Reference No. [____] dated [____]</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the Proper Officer / PO</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the Proper Officer of State Tax who issued the SCN and passed the Impugned Order</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ITC</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Input Tax Credit</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IRN</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Invoice Reference Number (GST e-invoicing system)</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RTP</w:t>
            </w:r>
          </w:p>
        </w:tc>
        <w:tc>
          <w:tcPr>
            <w:tcW w:type="dxa" w:w="6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Registered Taxable Person</w:t>
            </w:r>
          </w:p>
        </w:tc>
      </w:tr>
    </w:tbl>
    <w:p>
      <w:pPr>
        <w:pStyle w:val="Heading1"/>
        <w:spacing w:after="140" w:before="280"/>
      </w:pPr>
      <w:r>
        <w:rPr>
          <w:rFonts w:ascii="Times New Roman" w:cs="Times New Roman" w:eastAsia="Times New Roman" w:hAnsi="Times New Roman"/>
          <w:b/>
          <w:bCs/>
          <w:sz w:val="26"/>
          <w:szCs w:val="26"/>
        </w:rPr>
        <w:t xml:space="preserve">FORM GST APL-01 — STATUTORY PARTICULARS</w:t>
      </w:r>
    </w:p>
    <w:p>
      <w:pPr>
        <w:spacing w:after="160" w:line="276"/>
        <w:jc w:val="both"/>
      </w:pPr>
      <w:r>
        <w:rPr>
          <w:rFonts w:ascii="Times New Roman" w:cs="Times New Roman" w:eastAsia="Times New Roman" w:hAnsi="Times New Roman"/>
          <w:sz w:val="24"/>
          <w:szCs w:val="24"/>
        </w:rPr>
        <w:t xml:space="preserve">The statutory particulars required by Form GST APL-01 are set out below; the detailed Statement of Facts and Grounds of Appeal follow as Annexures A and B. The figures of demand created, admitted and disputed, and the particulars of pre-deposit, are to be completed from the certified copy of the Impugned Order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115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S.No</w:t>
            </w:r>
          </w:p>
        </w:tc>
        <w:tc>
          <w:tcPr>
            <w:tcW w:type="dxa" w:w="52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Particulars</w:t>
            </w:r>
          </w:p>
        </w:tc>
        <w:tc>
          <w:tcPr>
            <w:tcW w:type="dxa" w:w="3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Details</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GSTIN / Temporary ID / UIN</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[__________]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Legal name of the appellant</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M/s Noticedesk Technologies Private Limited</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Trade name, if any</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[__________]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Address</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[__________]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No. &amp; Date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DRC-07 No. [____] dated [____]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Designation of the officer passing the order</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Proper Officer of State Tax, [Charge]</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Date of communication of the order</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8</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Name of the authorised representative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 Authorised Representative</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Brief issue of the case under dispute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Denial / reversal of ITC on the ground of retrospective cancellation of the Supplier’s registration</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9(2)</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Description / classification of goods or services</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invoice — to be completed]</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9(3)</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Period of dispute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SCN — to be completed; see Flag on FY 2017-18 vs FY 2018-19]</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9(4)</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Amount under dispute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Impugned Order — to be completed]</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Whether the appellant wishes to be heard in person</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Yes</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Statement of facts</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Annexure A</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12</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Grounds of appeal</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Annexure B</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13</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Prayer</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the Prayer herein</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16</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Whether appeal filed after the prescribed period</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No</w:t>
            </w:r>
          </w:p>
        </w:tc>
      </w:tr>
    </w:tbl>
    <w:p>
      <w:pPr>
        <w:spacing w:after="160" w:line="276"/>
        <w:jc w:val="both"/>
      </w:pPr>
      <w:r>
        <w:rPr>
          <w:rFonts w:ascii="Times New Roman" w:cs="Times New Roman" w:eastAsia="Times New Roman" w:hAnsi="Times New Roman"/>
          <w:i/>
          <w:iCs/>
          <w:sz w:val="24"/>
          <w:szCs w:val="24"/>
        </w:rPr>
        <w:t xml:space="preserve">Note on pre-deposit: an appeal under Section 107 lies on payment in full of the admitted amount and a sum equal to 10% of the remaining amount of tax in dispute (Section 107(6) of the CGST Act). The pre-deposit particulars (cash/credit ledger debit entries) are to be completed in the form before filing.</w:t>
      </w:r>
    </w:p>
    <w:p>
      <w:pPr>
        <w:pStyle w:val="Heading1"/>
        <w:spacing w:after="140" w:before="280"/>
      </w:pPr>
      <w:r>
        <w:rPr>
          <w:rFonts w:ascii="Times New Roman" w:cs="Times New Roman" w:eastAsia="Times New Roman" w:hAnsi="Times New Roman"/>
          <w:b/>
          <w:bCs/>
          <w:sz w:val="26"/>
          <w:szCs w:val="26"/>
        </w:rPr>
        <w:t xml:space="preserve">ANNEXURE A — STATEMENT OF FACTS</w:t>
      </w:r>
    </w:p>
    <w:p>
      <w:pPr>
        <w:spacing w:after="160" w:line="276"/>
        <w:jc w:val="both"/>
      </w:pPr>
      <w:r>
        <w:rPr>
          <w:rFonts w:ascii="Times New Roman" w:cs="Times New Roman" w:eastAsia="Times New Roman" w:hAnsi="Times New Roman"/>
          <w:i/>
          <w:iCs/>
          <w:sz w:val="24"/>
          <w:szCs w:val="24"/>
        </w:rPr>
        <w:t xml:space="preserve">Drafter’s note (to be removed before filing): </w:t>
      </w:r>
      <w:r>
        <w:rPr>
          <w:rFonts w:ascii="Times New Roman" w:cs="Times New Roman" w:eastAsia="Times New Roman" w:hAnsi="Times New Roman"/>
          <w:i/>
          <w:iCs/>
          <w:sz w:val="24"/>
          <w:szCs w:val="24"/>
        </w:rPr>
        <w:t xml:space="preserve">Two alternative recitals of the procedural history are set out below — </w:t>
      </w:r>
      <w:r>
        <w:rPr>
          <w:rFonts w:ascii="Times New Roman" w:cs="Times New Roman" w:eastAsia="Times New Roman" w:hAnsi="Times New Roman"/>
          <w:b/>
          <w:bCs/>
          <w:i/>
          <w:iCs/>
          <w:sz w:val="24"/>
          <w:szCs w:val="24"/>
        </w:rPr>
        <w:t xml:space="preserve">Variant A</w:t>
      </w:r>
      <w:r>
        <w:rPr>
          <w:rFonts w:ascii="Times New Roman" w:cs="Times New Roman" w:eastAsia="Times New Roman" w:hAnsi="Times New Roman"/>
          <w:i/>
          <w:iCs/>
          <w:sz w:val="24"/>
          <w:szCs w:val="24"/>
        </w:rPr>
        <w:t xml:space="preserve"> for matters originating in return-scrutiny or audit, and </w:t>
      </w:r>
      <w:r>
        <w:rPr>
          <w:rFonts w:ascii="Times New Roman" w:cs="Times New Roman" w:eastAsia="Times New Roman" w:hAnsi="Times New Roman"/>
          <w:b/>
          <w:bCs/>
          <w:i/>
          <w:iCs/>
          <w:sz w:val="24"/>
          <w:szCs w:val="24"/>
        </w:rPr>
        <w:t xml:space="preserve">Variant B</w:t>
      </w:r>
      <w:r>
        <w:rPr>
          <w:rFonts w:ascii="Times New Roman" w:cs="Times New Roman" w:eastAsia="Times New Roman" w:hAnsi="Times New Roman"/>
          <w:i/>
          <w:iCs/>
          <w:sz w:val="24"/>
          <w:szCs w:val="24"/>
        </w:rPr>
        <w:t xml:space="preserve"> for matters originating in investigation / search. Retain the variant that fits this matter and delete the other, together with this note. Each variant is internally numbered by the word-processor and will renumber automatically on any insertion or deletion.</w:t>
      </w:r>
    </w:p>
    <w:p>
      <w:pPr>
        <w:pStyle w:val="Heading2"/>
        <w:spacing w:after="120" w:before="200"/>
      </w:pPr>
      <w:r>
        <w:rPr>
          <w:rFonts w:ascii="Times New Roman" w:cs="Times New Roman" w:eastAsia="Times New Roman" w:hAnsi="Times New Roman"/>
          <w:b/>
          <w:bCs/>
          <w:sz w:val="24"/>
          <w:szCs w:val="24"/>
        </w:rPr>
        <w:t xml:space="preserve">VARIANT A — STATEMENT OF FACTS (ADJUDICATION TIMELINE: SCRUTINY / AUDIT ORIGIN)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M/s Noticedesk Technologies Private Limited, is a private limited company registered under the CGST and the corresponding SGST Act bearing GSTIN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carrying on the business of </w:t>
      </w:r>
      <w:r>
        <w:rPr>
          <w:rFonts w:ascii="Times New Roman" w:cs="Times New Roman" w:eastAsia="Times New Roman" w:hAnsi="Times New Roman"/>
          <w:b/>
          <w:bCs/>
          <w:sz w:val="24"/>
          <w:szCs w:val="24"/>
        </w:rPr>
        <w:t xml:space="preserve">[nature of business]</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[principal place of business]</w:t>
      </w:r>
      <w:r>
        <w:rPr>
          <w:rFonts w:ascii="Times New Roman" w:cs="Times New Roman" w:eastAsia="Times New Roman" w:hAnsi="Times New Roman"/>
          <w:sz w:val="24"/>
          <w:szCs w:val="24"/>
        </w:rPr>
        <w:t xml:space="preserve">. The Appellant maintains regular books of account and is in compliance with its periodic return-filing and tax-payment obligations. The present appeal arises from the denial, and consequential reversal, of input tax credit legitimately availed by the Appellant on a genuine inward supply, on the sole ground that the registration of its Supplier was, long afterwards, cancelled by the Department with retrospective effect.</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disputed transaction. </w:t>
      </w:r>
      <w:r>
        <w:rPr>
          <w:rFonts w:ascii="Times New Roman" w:cs="Times New Roman" w:eastAsia="Times New Roman" w:hAnsi="Times New Roman"/>
          <w:sz w:val="24"/>
          <w:szCs w:val="24"/>
        </w:rPr>
        <w:t xml:space="preserve">In the month of March 2018, the Appellant purchased </w:t>
      </w:r>
      <w:r>
        <w:rPr>
          <w:rFonts w:ascii="Times New Roman" w:cs="Times New Roman" w:eastAsia="Times New Roman" w:hAnsi="Times New Roman"/>
          <w:b/>
          <w:bCs/>
          <w:sz w:val="24"/>
          <w:szCs w:val="24"/>
        </w:rPr>
        <w:t xml:space="preserve">[description of goods/services]</w:t>
      </w:r>
      <w:r>
        <w:rPr>
          <w:rFonts w:ascii="Times New Roman" w:cs="Times New Roman" w:eastAsia="Times New Roman" w:hAnsi="Times New Roman"/>
          <w:sz w:val="24"/>
          <w:szCs w:val="24"/>
        </w:rPr>
        <w:t xml:space="preserve"> from M/s ABC Ltd (“the Supplier”), then a duly registered supplier, of a transaction value of Rs. 100, on which input tax of Rs. 10 was charged by the Supplier and availed by the Appellant as input tax credit. The purchase was effected in the ordinary course of business against a valid tax invoice (Annexure-2).</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Compliance position at the time of the transaction. </w:t>
      </w:r>
      <w:r>
        <w:rPr>
          <w:rFonts w:ascii="Times New Roman" w:cs="Times New Roman" w:eastAsia="Times New Roman" w:hAnsi="Times New Roman"/>
          <w:sz w:val="24"/>
          <w:szCs w:val="24"/>
        </w:rPr>
        <w:t xml:space="preserve">The Appellant satisfied every condition then governing the availment of credit. The Supplier’s registration was active and valid on the common portal as on the date of supply, a fact the Appellant verified before transacting; the Appellant held a valid tax invoice; the goods were received; payment of the value of the supply together with tax was made wholly through banking channels; the credit stood reflected in the Appellant’s GSTR-2A / 2B, auto-populated from the Supplier’s own outward-supply return; and the Appellant duly furnished its returns under Section 39. The Supplier itself filed its GSTR-3B for the month of the purchase (March 2018). The supporting record is at Annexures-2 and 3.</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Procedural chronology. </w:t>
      </w:r>
      <w:r>
        <w:rPr>
          <w:rFonts w:ascii="Times New Roman" w:cs="Times New Roman" w:eastAsia="Times New Roman" w:hAnsi="Times New Roman"/>
          <w:sz w:val="24"/>
          <w:szCs w:val="24"/>
        </w:rPr>
        <w:t xml:space="preserve">The proceedings leading to the Impugned Order, and the Appellant’s response at each stage, are tabulated below. Every date and reference is to be completed from the certified record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500"/>
        <w:gridCol w:w="3110"/>
        <w:gridCol w:w="2600"/>
      </w:tblGrid>
      <w:tr>
        <w:trPr>
          <w:tblHeader/>
        </w:trPr>
        <w:tc>
          <w:tcPr>
            <w:tcW w:type="dxa" w:w="115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S.No</w:t>
            </w:r>
          </w:p>
        </w:tc>
        <w:tc>
          <w:tcPr>
            <w:tcW w:type="dxa" w:w="2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311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Event / Form</w:t>
            </w:r>
          </w:p>
        </w:tc>
        <w:tc>
          <w:tcPr>
            <w:tcW w:type="dxa" w:w="2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Appellant’s response</w:t>
            </w:r>
          </w:p>
        </w:tc>
      </w:tr>
      <w:tr>
        <w:tc>
          <w:tcPr>
            <w:tcW w:type="dxa" w:w="115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Entry (a)</w:t>
            </w:r>
          </w:p>
        </w:tc>
        <w:tc>
          <w:tcPr>
            <w:tcW w:type="dxa" w:w="250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b/>
                <w:bCs/>
                <w:i/>
                <w:iCs/>
                <w:sz w:val="24"/>
                <w:szCs w:val="24"/>
              </w:rPr>
              <w:t xml:space="preserve">Return scrutiny under Section 61</w:t>
            </w:r>
          </w:p>
        </w:tc>
        <w:tc>
          <w:tcPr>
            <w:tcW w:type="dxa" w:w="311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sz w:val="24"/>
                <w:szCs w:val="24"/>
              </w:rPr>
              <w:t xml:space="preserve">— retain the sub-rows below if the matter began in scrutiny —</w:t>
            </w:r>
          </w:p>
        </w:tc>
        <w:tc>
          <w:tcPr>
            <w:tcW w:type="dxa" w:w="250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sz w:val="24"/>
                <w:szCs w:val="24"/>
              </w:rPr>
              <w:t xml:space="preserve"/>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Notice for scrutiny of returns in Form GST ASMT-10 issued, pointing out the alleged discrepancy in ITC</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Reply in Form GST ASMT-11 filed on [____] explaining the position</w:t>
            </w:r>
          </w:p>
        </w:tc>
      </w:tr>
      <w:tr>
        <w:tc>
          <w:tcPr>
            <w:tcW w:type="dxa" w:w="115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Entry (b)</w:t>
            </w:r>
          </w:p>
        </w:tc>
        <w:tc>
          <w:tcPr>
            <w:tcW w:type="dxa" w:w="250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b/>
                <w:bCs/>
                <w:i/>
                <w:iCs/>
                <w:sz w:val="24"/>
                <w:szCs w:val="24"/>
              </w:rPr>
              <w:t xml:space="preserve">Audit under Section 65</w:t>
            </w:r>
          </w:p>
        </w:tc>
        <w:tc>
          <w:tcPr>
            <w:tcW w:type="dxa" w:w="311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sz w:val="24"/>
                <w:szCs w:val="24"/>
              </w:rPr>
              <w:t xml:space="preserve">— retain the sub-rows below instead if the matter began in audit —</w:t>
            </w:r>
          </w:p>
        </w:tc>
        <w:tc>
          <w:tcPr>
            <w:tcW w:type="dxa" w:w="2500"/>
            <w:tcBorders>
              <w:top w:val="single" w:color="888888" w:sz="1"/>
              <w:left w:val="single" w:color="888888" w:sz="1"/>
              <w:bottom w:val="single" w:color="888888" w:sz="1"/>
              <w:right w:val="single" w:color="888888" w:sz="1"/>
            </w:tcBorders>
            <w:shd w:fill="F2F2F2" w:val="clear"/>
            <w:tcMar>
              <w:top w:type="dxa" w:w="60"/>
              <w:left w:type="dxa" w:w="100"/>
              <w:bottom w:type="dxa" w:w="60"/>
              <w:right w:type="dxa" w:w="100"/>
            </w:tcMar>
          </w:tcPr>
          <w:p>
            <w:r>
              <w:rPr>
                <w:rFonts w:ascii="Times New Roman" w:cs="Times New Roman" w:eastAsia="Times New Roman" w:hAnsi="Times New Roman"/>
                <w:sz w:val="24"/>
                <w:szCs w:val="24"/>
              </w:rPr>
              <w:t xml:space="preserve"/>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1A</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Notice for conduct of audit in Form GST ADT-01 issued; records and information called for</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Records and information furnished on [____]</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1B</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Audit observations / draft audit report communicated; Final Audit Report in Form GST ADT-02 issued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Objections to the audit observations submitted on [____]</w:t>
            </w:r>
          </w:p>
        </w:tc>
      </w:tr>
      <w:tr>
        <w:tc>
          <w:tcPr>
            <w:tcW w:type="dxa" w:w="1150"/>
            <w:tcBorders>
              <w:top w:val="single" w:color="888888" w:sz="1"/>
              <w:left w:val="single" w:color="888888" w:sz="1"/>
              <w:bottom w:val="single" w:color="888888" w:sz="1"/>
              <w:right w:val="single" w:color="888888" w:sz="1"/>
            </w:tcBorders>
            <w:shd w:fill="FBE5D6" w:val="clear"/>
            <w:tcMar>
              <w:top w:type="dxa" w:w="60"/>
              <w:left w:type="dxa" w:w="100"/>
              <w:bottom w:type="dxa" w:w="60"/>
              <w:right w:type="dxa" w:w="100"/>
            </w:tcMar>
          </w:tcPr>
          <w:p>
            <w:r>
              <w:rPr>
                <w:rFonts w:ascii="Times New Roman" w:cs="Times New Roman" w:eastAsia="Times New Roman" w:hAnsi="Times New Roman"/>
                <w:b/>
                <w:bCs/>
                <w:sz w:val="24"/>
                <w:szCs w:val="24"/>
              </w:rPr>
              <w:t xml:space="preserve">Common</w:t>
            </w:r>
          </w:p>
        </w:tc>
        <w:tc>
          <w:tcPr>
            <w:tcW w:type="dxa" w:w="2500"/>
            <w:tcBorders>
              <w:top w:val="single" w:color="888888" w:sz="1"/>
              <w:left w:val="single" w:color="888888" w:sz="1"/>
              <w:bottom w:val="single" w:color="888888" w:sz="1"/>
              <w:right w:val="single" w:color="888888" w:sz="1"/>
            </w:tcBorders>
            <w:shd w:fill="FBE5D6" w:val="clear"/>
            <w:tcMar>
              <w:top w:type="dxa" w:w="60"/>
              <w:left w:type="dxa" w:w="100"/>
              <w:bottom w:type="dxa" w:w="60"/>
              <w:right w:type="dxa" w:w="100"/>
            </w:tcMar>
          </w:tcPr>
          <w:p>
            <w:r>
              <w:rPr>
                <w:rFonts w:ascii="Times New Roman" w:cs="Times New Roman" w:eastAsia="Times New Roman" w:hAnsi="Times New Roman"/>
                <w:b/>
                <w:bCs/>
                <w:i/>
                <w:iCs/>
                <w:sz w:val="24"/>
                <w:szCs w:val="24"/>
              </w:rPr>
              <w:t xml:space="preserve">Pre-SCN and adjudication</w:t>
            </w:r>
          </w:p>
        </w:tc>
        <w:tc>
          <w:tcPr>
            <w:tcW w:type="dxa" w:w="3110"/>
            <w:tcBorders>
              <w:top w:val="single" w:color="888888" w:sz="1"/>
              <w:left w:val="single" w:color="888888" w:sz="1"/>
              <w:bottom w:val="single" w:color="888888" w:sz="1"/>
              <w:right w:val="single" w:color="888888" w:sz="1"/>
            </w:tcBorders>
            <w:shd w:fill="FBE5D6" w:val="clear"/>
            <w:tcMar>
              <w:top w:type="dxa" w:w="60"/>
              <w:left w:type="dxa" w:w="100"/>
              <w:bottom w:type="dxa" w:w="60"/>
              <w:right w:type="dxa" w:w="100"/>
            </w:tcMar>
          </w:tcPr>
          <w:p>
            <w:r>
              <w:rPr>
                <w:rFonts w:ascii="Times New Roman" w:cs="Times New Roman" w:eastAsia="Times New Roman" w:hAnsi="Times New Roman"/>
                <w:sz w:val="24"/>
                <w:szCs w:val="24"/>
              </w:rPr>
              <w:t xml:space="preserve">— common to both entry points —</w:t>
            </w:r>
          </w:p>
        </w:tc>
        <w:tc>
          <w:tcPr>
            <w:tcW w:type="dxa" w:w="2500"/>
            <w:tcBorders>
              <w:top w:val="single" w:color="888888" w:sz="1"/>
              <w:left w:val="single" w:color="888888" w:sz="1"/>
              <w:bottom w:val="single" w:color="888888" w:sz="1"/>
              <w:right w:val="single" w:color="888888" w:sz="1"/>
            </w:tcBorders>
            <w:shd w:fill="FBE5D6" w:val="clear"/>
            <w:tcMar>
              <w:top w:type="dxa" w:w="60"/>
              <w:left w:type="dxa" w:w="100"/>
              <w:bottom w:type="dxa" w:w="60"/>
              <w:right w:type="dxa" w:w="100"/>
            </w:tcMar>
          </w:tcPr>
          <w:p>
            <w:r>
              <w:rPr>
                <w:rFonts w:ascii="Times New Roman" w:cs="Times New Roman" w:eastAsia="Times New Roman" w:hAnsi="Times New Roman"/>
                <w:sz w:val="24"/>
                <w:szCs w:val="24"/>
              </w:rPr>
              <w:t xml:space="preserve"/>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Intimation of tax ascertained as payable in Form GST DRC-01A (Part A) issued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Reply in Form GST DRC-01A (Part B) filed on [____] disputing the ascertainment</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Show Cause Notice in Form GST DRC-01, Ref. No. [____], issued under Section 73/74 proposing reversal of ITC with interest and penalty</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Detailed reply to the SCN filed on [____] vide [____]</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Personal hearing</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Attended / written submissions tendered through the Authorised Representative on [____]</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in Form GST DRC-07, Ref. No. [____], confirming the demand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The present appeal</w:t>
            </w:r>
          </w:p>
        </w:tc>
      </w:tr>
    </w:tbl>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case set up against the Appellant. </w:t>
      </w:r>
      <w:r>
        <w:rPr>
          <w:rFonts w:ascii="Times New Roman" w:cs="Times New Roman" w:eastAsia="Times New Roman" w:hAnsi="Times New Roman"/>
          <w:sz w:val="24"/>
          <w:szCs w:val="24"/>
        </w:rPr>
        <w:t xml:space="preserve">At every stage above, the Department’s case rested on a single circumstance — that the Supplier’s registration was cancelled, on </w:t>
      </w:r>
      <w:r>
        <w:rPr>
          <w:rFonts w:ascii="Times New Roman" w:cs="Times New Roman" w:eastAsia="Times New Roman" w:hAnsi="Times New Roman"/>
          <w:b/>
          <w:bCs/>
          <w:sz w:val="24"/>
          <w:szCs w:val="24"/>
        </w:rPr>
        <w:t xml:space="preserve">[Date] February 2020</w:t>
      </w:r>
      <w:r>
        <w:rPr>
          <w:rFonts w:ascii="Times New Roman" w:cs="Times New Roman" w:eastAsia="Times New Roman" w:hAnsi="Times New Roman"/>
          <w:sz w:val="24"/>
          <w:szCs w:val="24"/>
        </w:rPr>
        <w:t xml:space="preserve">, with retrospective effect from </w:t>
      </w:r>
      <w:r>
        <w:rPr>
          <w:rFonts w:ascii="Times New Roman" w:cs="Times New Roman" w:eastAsia="Times New Roman" w:hAnsi="Times New Roman"/>
          <w:b/>
          <w:bCs/>
          <w:sz w:val="24"/>
          <w:szCs w:val="24"/>
        </w:rPr>
        <w:t xml:space="preserve">[Date] July 2017</w:t>
      </w:r>
      <w:r>
        <w:rPr>
          <w:rFonts w:ascii="Times New Roman" w:cs="Times New Roman" w:eastAsia="Times New Roman" w:hAnsi="Times New Roman"/>
          <w:sz w:val="24"/>
          <w:szCs w:val="24"/>
        </w:rPr>
        <w:t xml:space="preserve">, a date anterior even to the transaction — and on the inference, drawn from that fact alone, that the Appellant’s credit was inadmissible. At no stage was any want of genuineness in the transaction itself alleged or established; no collusion, cash-back, or non-receipt of goods was put to the Appellant.</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Appellant’s consistent response. </w:t>
      </w:r>
      <w:r>
        <w:rPr>
          <w:rFonts w:ascii="Times New Roman" w:cs="Times New Roman" w:eastAsia="Times New Roman" w:hAnsi="Times New Roman"/>
          <w:sz w:val="24"/>
          <w:szCs w:val="24"/>
        </w:rPr>
        <w:t xml:space="preserve">The Appellant met the allegation at the earliest opportunity and maintained the same position throughout — from the ASMT-11 / audit-objection stage, through the DRC-01A (Part B) reply, to the reply to the DRC-01 — namely, that it had complied with every condition of Section 16 when the credit was availed, that the Supplier’s registration was then valid and its return filed, and that a recipient cannot be visited with the consequences of the Supplier’s subsequent retrospective cancellation. The documentary trail in support was placed on record at each stage.</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Impugned Order. </w:t>
      </w:r>
      <w:r>
        <w:rPr>
          <w:rFonts w:ascii="Times New Roman" w:cs="Times New Roman" w:eastAsia="Times New Roman" w:hAnsi="Times New Roman"/>
          <w:sz w:val="24"/>
          <w:szCs w:val="24"/>
        </w:rPr>
        <w:t xml:space="preserve">Without dealing with the Appellant’s replies, without adverting to the documents on record, and without recording any independent finding on genuineness, receipt of goods, or payment, the Learned Proper Officer passed the Impugned Order in Form GST DRC-07, Reference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confirming the demand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Order rests, in substance, on the single circumstance of the Supplier’s retrospective cancellation, and is to that extent a non-speaking order.</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Grievance, limitation and pre-deposit. </w:t>
      </w:r>
      <w:r>
        <w:rPr>
          <w:rFonts w:ascii="Times New Roman" w:cs="Times New Roman" w:eastAsia="Times New Roman" w:hAnsi="Times New Roman"/>
          <w:sz w:val="24"/>
          <w:szCs w:val="24"/>
        </w:rPr>
        <w:t xml:space="preserve">Being aggrieved, the Appellant prefers this appeal within the three-month period prescribed by Section 107(1), reckoned from the date of communication of the Impugned Order, and has made the pre-deposit of 10% of the disputed tax under Section 107(6) (Annexure-4).</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Reservation. </w:t>
      </w:r>
      <w:r>
        <w:rPr>
          <w:rFonts w:ascii="Times New Roman" w:cs="Times New Roman" w:eastAsia="Times New Roman" w:hAnsi="Times New Roman"/>
          <w:sz w:val="24"/>
          <w:szCs w:val="24"/>
        </w:rPr>
        <w:t xml:space="preserve">The facts are stated to the best of the Appellant’s knowledge from the record; the Appellant reserves the right to supplement them on receipt of any document relied upon but not yet supplied, and to produce its complete transaction trail at the personal hearing.</w:t>
      </w:r>
    </w:p>
    <w:p>
      <w:pPr>
        <w:pStyle w:val="Heading2"/>
        <w:spacing w:after="120" w:before="200"/>
      </w:pPr>
      <w:r>
        <w:rPr>
          <w:rFonts w:ascii="Times New Roman" w:cs="Times New Roman" w:eastAsia="Times New Roman" w:hAnsi="Times New Roman"/>
          <w:b/>
          <w:bCs/>
          <w:sz w:val="24"/>
          <w:szCs w:val="24"/>
        </w:rPr>
        <w:t xml:space="preserve">VARIANT B — STATEMENT OF FACTS (INVESTIGATION / SEARCH ORIGIN)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M/s Noticedesk Technologies Private Limited, is a private limited company registered under the CGST and the corresponding SGST Act bearing GSTIN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carrying on the business of </w:t>
      </w:r>
      <w:r>
        <w:rPr>
          <w:rFonts w:ascii="Times New Roman" w:cs="Times New Roman" w:eastAsia="Times New Roman" w:hAnsi="Times New Roman"/>
          <w:b/>
          <w:bCs/>
          <w:sz w:val="24"/>
          <w:szCs w:val="24"/>
        </w:rPr>
        <w:t xml:space="preserve">[nature of business]</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[principal place of business]</w:t>
      </w:r>
      <w:r>
        <w:rPr>
          <w:rFonts w:ascii="Times New Roman" w:cs="Times New Roman" w:eastAsia="Times New Roman" w:hAnsi="Times New Roman"/>
          <w:sz w:val="24"/>
          <w:szCs w:val="24"/>
        </w:rPr>
        <w:t xml:space="preserve">. The Appellant maintains regular books of account and is in compliance with its periodic return-filing and tax-payment obligations. The present appeal arises from the denial, and consequential reversal, of input tax credit legitimately availed by the Appellant on a genuine inward supply, on the sole ground that the registration of its Supplier was, long afterwards, cancelled by the Department with retrospective effect.</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disputed transaction. </w:t>
      </w:r>
      <w:r>
        <w:rPr>
          <w:rFonts w:ascii="Times New Roman" w:cs="Times New Roman" w:eastAsia="Times New Roman" w:hAnsi="Times New Roman"/>
          <w:sz w:val="24"/>
          <w:szCs w:val="24"/>
        </w:rPr>
        <w:t xml:space="preserve">In the month of March 2018, the Appellant purchased </w:t>
      </w:r>
      <w:r>
        <w:rPr>
          <w:rFonts w:ascii="Times New Roman" w:cs="Times New Roman" w:eastAsia="Times New Roman" w:hAnsi="Times New Roman"/>
          <w:b/>
          <w:bCs/>
          <w:sz w:val="24"/>
          <w:szCs w:val="24"/>
        </w:rPr>
        <w:t xml:space="preserve">[description of goods/services]</w:t>
      </w:r>
      <w:r>
        <w:rPr>
          <w:rFonts w:ascii="Times New Roman" w:cs="Times New Roman" w:eastAsia="Times New Roman" w:hAnsi="Times New Roman"/>
          <w:sz w:val="24"/>
          <w:szCs w:val="24"/>
        </w:rPr>
        <w:t xml:space="preserve"> from M/s ABC Ltd (“the Supplier”), then a duly registered supplier, of a transaction value of Rs. 100, on which input tax of Rs. 10 was charged by the Supplier and availed by the Appellant as input tax credit. The purchase was effected in the ordinary course of business against a valid tax invoice (Annexure-2).</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Compliance position at the time of the transaction. </w:t>
      </w:r>
      <w:r>
        <w:rPr>
          <w:rFonts w:ascii="Times New Roman" w:cs="Times New Roman" w:eastAsia="Times New Roman" w:hAnsi="Times New Roman"/>
          <w:sz w:val="24"/>
          <w:szCs w:val="24"/>
        </w:rPr>
        <w:t xml:space="preserve">The Appellant satisfied every condition then governing the availment of credit. The Supplier’s registration was active and valid on the common portal as on the date of supply, a fact the Appellant verified before transacting; the Appellant held a valid tax invoice; the goods were received; payment of the value of the supply together with tax was made wholly through banking channels; the credit stood reflected in the Appellant’s GSTR-2A / 2B, auto-populated from the Supplier’s own outward-supply return; and the Appellant duly furnished its returns under Section 39. The Supplier itself filed its GSTR-3B for the month of the purchase (March 2018). The supporting record is at Annexures-2 and 3.</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Procedural chronology. </w:t>
      </w:r>
      <w:r>
        <w:rPr>
          <w:rFonts w:ascii="Times New Roman" w:cs="Times New Roman" w:eastAsia="Times New Roman" w:hAnsi="Times New Roman"/>
          <w:sz w:val="24"/>
          <w:szCs w:val="24"/>
        </w:rPr>
        <w:t xml:space="preserve">Where the proceedings originated in investigation by the enforcement / anti-evasion wing rather than in return scrutiny, the chronology is as tabulated below. Every date and reference is to be completed from the certified record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500"/>
        <w:gridCol w:w="3110"/>
        <w:gridCol w:w="2600"/>
      </w:tblGrid>
      <w:tr>
        <w:trPr>
          <w:tblHeader/>
        </w:trPr>
        <w:tc>
          <w:tcPr>
            <w:tcW w:type="dxa" w:w="115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S.No</w:t>
            </w:r>
          </w:p>
        </w:tc>
        <w:tc>
          <w:tcPr>
            <w:tcW w:type="dxa" w:w="2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311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Event</w:t>
            </w:r>
          </w:p>
        </w:tc>
        <w:tc>
          <w:tcPr>
            <w:tcW w:type="dxa" w:w="2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Appellant’s response</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Search / inspection under Section 67 at the Appellant’s premises; / intelligence received regarding the Supplier</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Co-operated; records made available</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Summons under Section 70 issued calling for documents and statement</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Documents furnished and statement tendered on [____]; nothing incriminating found</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Statement of the Appellant’s representative recorded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Statement given without admission of liability; retraction / clarification filed on [____] (if any)</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Intimation of tax ascertained as payable in Form GST DRC-01A (Part A) issued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Reply in Form GST DRC-01A (Part B) filed on [____] disputing the ascertainment</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Show Cause Notice in Form GST DRC-01, Ref. No. [____], issued under Section 74 alleging wrongful availment of ITC</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Detailed reply to the SCN filed on [____] vide [____]</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Personal hearing</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Attended / written submissions tendered through the Authorised Representative on [____]</w:t>
            </w:r>
          </w:p>
        </w:tc>
      </w:tr>
      <w:tr>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1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in Form GST DRC-07, Ref. No. [____], confirming the demand</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The present appeal</w:t>
            </w:r>
          </w:p>
        </w:tc>
      </w:tr>
    </w:tbl>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case set up against the Appellant. </w:t>
      </w:r>
      <w:r>
        <w:rPr>
          <w:rFonts w:ascii="Times New Roman" w:cs="Times New Roman" w:eastAsia="Times New Roman" w:hAnsi="Times New Roman"/>
          <w:sz w:val="24"/>
          <w:szCs w:val="24"/>
        </w:rPr>
        <w:t xml:space="preserve">The investigation proceeded on the premise that the Supplier’s registration was cancelled, on </w:t>
      </w:r>
      <w:r>
        <w:rPr>
          <w:rFonts w:ascii="Times New Roman" w:cs="Times New Roman" w:eastAsia="Times New Roman" w:hAnsi="Times New Roman"/>
          <w:b/>
          <w:bCs/>
          <w:sz w:val="24"/>
          <w:szCs w:val="24"/>
        </w:rPr>
        <w:t xml:space="preserve">[Date] February 2020</w:t>
      </w:r>
      <w:r>
        <w:rPr>
          <w:rFonts w:ascii="Times New Roman" w:cs="Times New Roman" w:eastAsia="Times New Roman" w:hAnsi="Times New Roman"/>
          <w:sz w:val="24"/>
          <w:szCs w:val="24"/>
        </w:rPr>
        <w:t xml:space="preserve">, with retrospective effect from </w:t>
      </w:r>
      <w:r>
        <w:rPr>
          <w:rFonts w:ascii="Times New Roman" w:cs="Times New Roman" w:eastAsia="Times New Roman" w:hAnsi="Times New Roman"/>
          <w:b/>
          <w:bCs/>
          <w:sz w:val="24"/>
          <w:szCs w:val="24"/>
        </w:rPr>
        <w:t xml:space="preserve">[Date] July 2017</w:t>
      </w:r>
      <w:r>
        <w:rPr>
          <w:rFonts w:ascii="Times New Roman" w:cs="Times New Roman" w:eastAsia="Times New Roman" w:hAnsi="Times New Roman"/>
          <w:sz w:val="24"/>
          <w:szCs w:val="24"/>
        </w:rPr>
        <w:t xml:space="preserve">, and that the Appellant’s credit on supplies from such Supplier was therefore wrongful and attracted Section 74. No material was, however, gathered in the course of the investigation to show that the transaction was not genuine, that the goods were not received, or that the consideration was not paid through banking channels. No statement of the Appellant’s representative contains any admission of wrongful availment.</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Appellant’s consistent response. </w:t>
      </w:r>
      <w:r>
        <w:rPr>
          <w:rFonts w:ascii="Times New Roman" w:cs="Times New Roman" w:eastAsia="Times New Roman" w:hAnsi="Times New Roman"/>
          <w:sz w:val="24"/>
          <w:szCs w:val="24"/>
        </w:rPr>
        <w:t xml:space="preserve">From the stage of the summons through the reply to the DRC-01A and the reply to the DRC-01, the Appellant maintained that it had satisfied every condition of Section 16 when the credit was availed; that the Supplier’s registration was then valid and its return filed; and that the invocation of Section 74 was untenable absent any fraud, wilful misstatement or suppression on the Appellant’s part. The complete documentary trail was furnished at each stage.</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Impugned Order. </w:t>
      </w:r>
      <w:r>
        <w:rPr>
          <w:rFonts w:ascii="Times New Roman" w:cs="Times New Roman" w:eastAsia="Times New Roman" w:hAnsi="Times New Roman"/>
          <w:sz w:val="24"/>
          <w:szCs w:val="24"/>
        </w:rPr>
        <w:t xml:space="preserve">Without dealing with the Appellant’s replies or the documents on record, and without any independent finding on genuineness, receipt of goods, or payment, the Learned Proper Officer passed the Impugned Order in Form GST DRC-07, Reference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confirming the demand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Order rests, in substance, on the single circumstance of the Supplier’s retrospective cancellation.</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Grievance, limitation and pre-deposit. </w:t>
      </w:r>
      <w:r>
        <w:rPr>
          <w:rFonts w:ascii="Times New Roman" w:cs="Times New Roman" w:eastAsia="Times New Roman" w:hAnsi="Times New Roman"/>
          <w:sz w:val="24"/>
          <w:szCs w:val="24"/>
        </w:rPr>
        <w:t xml:space="preserve">Being aggrieved, the Appellant prefers this appeal within the three-month period prescribed by Section 107(1), reckoned from the date of communication of the Impugned Order, and has made the pre-deposit of 10% of the disputed tax under Section 107(6) (Annexure-4).</w:t>
      </w:r>
    </w:p>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Reservation. </w:t>
      </w:r>
      <w:r>
        <w:rPr>
          <w:rFonts w:ascii="Times New Roman" w:cs="Times New Roman" w:eastAsia="Times New Roman" w:hAnsi="Times New Roman"/>
          <w:sz w:val="24"/>
          <w:szCs w:val="24"/>
        </w:rPr>
        <w:t xml:space="preserve">The facts are stated to the best of the Appellant’s knowledge from the record; the Appellant reserves the right to supplement them on receipt of any document relied upon but not yet supplied, and to produce its complete transaction trail at the personal hearing.</w:t>
      </w:r>
    </w:p>
    <w:p>
      <w:pPr>
        <w:pStyle w:val="Heading1"/>
        <w:spacing w:after="140" w:before="280"/>
      </w:pPr>
      <w:r>
        <w:rPr>
          <w:rFonts w:ascii="Times New Roman" w:cs="Times New Roman" w:eastAsia="Times New Roman" w:hAnsi="Times New Roman"/>
          <w:b/>
          <w:bCs/>
          <w:sz w:val="26"/>
          <w:szCs w:val="26"/>
        </w:rPr>
        <w:t xml:space="preserve">ANNEXURE B — GROUNDS OF APPEAL</w:t>
      </w:r>
    </w:p>
    <w:p>
      <w:pPr>
        <w:spacing w:after="160" w:line="276"/>
        <w:jc w:val="both"/>
      </w:pPr>
      <w:r>
        <w:rPr>
          <w:rFonts w:ascii="Times New Roman" w:cs="Times New Roman" w:eastAsia="Times New Roman" w:hAnsi="Times New Roman"/>
          <w:i/>
          <w:iCs/>
          <w:sz w:val="24"/>
          <w:szCs w:val="24"/>
        </w:rPr>
        <w:t xml:space="preserve">Each ground below is framed to stand on its own: the allegation as understood from the Impugned Order, the governing law, its application to the facts on record, the authorities relied upon, and the relief that follows. The Learned Appellate Authority is respectfully invited to allow the appeal on any one or more of these grounds, each of which is independently sufficient.</w:t>
      </w:r>
    </w:p>
    <w:p>
      <w:pPr>
        <w:pStyle w:val="Heading2"/>
        <w:spacing w:after="120" w:before="200"/>
      </w:pPr>
      <w:r>
        <w:rPr>
          <w:rFonts w:ascii="Times New Roman" w:cs="Times New Roman" w:eastAsia="Times New Roman" w:hAnsi="Times New Roman"/>
          <w:b/>
          <w:bCs/>
          <w:sz w:val="24"/>
          <w:szCs w:val="24"/>
        </w:rPr>
        <w:t xml:space="preserve">PART I — PRELIMINARY SUBMISSIONS, FORMAL DENIAL AND RESERVATION OF RIGHTS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At the outset, the Appellant respectfully and without reservation </w:t>
      </w:r>
      <w:r>
        <w:rPr>
          <w:rFonts w:ascii="Times New Roman" w:cs="Times New Roman" w:eastAsia="Times New Roman" w:hAnsi="Times New Roman"/>
          <w:b/>
          <w:bCs/>
          <w:sz w:val="24"/>
          <w:szCs w:val="24"/>
        </w:rPr>
        <w:t xml:space="preserve">DENIES</w:t>
      </w:r>
      <w:r>
        <w:rPr>
          <w:rFonts w:ascii="Times New Roman" w:cs="Times New Roman" w:eastAsia="Times New Roman" w:hAnsi="Times New Roman"/>
          <w:sz w:val="24"/>
          <w:szCs w:val="24"/>
        </w:rPr>
        <w:t xml:space="preserve"> that the input tax credit of Rs. 10 availed on the inward supply received from M/s ABC Ltd was in any manner ineligible, irregular, wrongly availed or liable to reversal, and </w:t>
      </w:r>
      <w:r>
        <w:rPr>
          <w:rFonts w:ascii="Times New Roman" w:cs="Times New Roman" w:eastAsia="Times New Roman" w:hAnsi="Times New Roman"/>
          <w:b/>
          <w:bCs/>
          <w:sz w:val="24"/>
          <w:szCs w:val="24"/>
        </w:rPr>
        <w:t xml:space="preserve">DENIES</w:t>
      </w:r>
      <w:r>
        <w:rPr>
          <w:rFonts w:ascii="Times New Roman" w:cs="Times New Roman" w:eastAsia="Times New Roman" w:hAnsi="Times New Roman"/>
          <w:sz w:val="24"/>
          <w:szCs w:val="24"/>
        </w:rPr>
        <w:t xml:space="preserve"> each adverse finding, inference and conclusion in the Impugned Order as if the same were set out herein and traversed seriatim. Nothing in the Impugned Order is admitted save what is expressly admitted herein.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grounds are taken issue-wise and in the sequence in which they ought logically to be decided: first the objection to jurisdiction and the invocation of the extended period under Section 74; then the objection that the Impugned Order is a non-speaking order passed in breach of natural justice; then the substantive merits, namely that the statute imposes no condition of continuing supplier registration and that a bona fide recipient is protected against the supplier’s retrospective cancellation; then the burden of proof and the requirement that recovery be made first from the defaulting supplier; then the alternative statutory relief; and finally, and only in the alternative, the pleas going to interest and penalty. Each ground is urged independently and without prejudice to the others.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This appeal is filed without prejudice to, and with the express reservation of, the Appellant’s rights: (i) to receive any document, statement or material relied upon but not supplied; (ii) to be heard in person through its Authorised Representative; (iii) to file further and better submissions and to produce its complete documentary trail; (iv) to cross-examine any person whose statement is relied upon against it; and (v) to raise such additional grounds as may be advised. The order in which the grounds appear is not an order of priority, and no ground is to be read as qualifying another.</w:t>
      </w:r>
    </w:p>
    <w:p>
      <w:pPr>
        <w:pStyle w:val="Heading2"/>
        <w:spacing w:after="120" w:before="200"/>
      </w:pPr>
      <w:r>
        <w:rPr>
          <w:rFonts w:ascii="Times New Roman" w:cs="Times New Roman" w:eastAsia="Times New Roman" w:hAnsi="Times New Roman"/>
          <w:b/>
          <w:bCs/>
          <w:sz w:val="24"/>
          <w:szCs w:val="24"/>
        </w:rPr>
        <w:t xml:space="preserve">PART II — GROUND 1: THE INVOCATION OF SECTION 74 IS WITHOUT JURISDICTION; NO FRAUD, WILFUL MISSTATEMENT OR SUPPRESSION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Appellant takes this ground first because it goes to the very jurisdiction to issue the notice and to invoke the extended period of limitation, and because, if it succeeds, a substantial part of the demand fails on that account alone.</w:t>
      </w:r>
    </w:p>
    <w:p>
      <w:pPr>
        <w:spacing w:after="140" w:line="276"/>
        <w:ind w:left="720"/>
        <w:jc w:val="both"/>
      </w:pPr>
      <w:r>
        <w:rPr>
          <w:rFonts w:ascii="Times New Roman" w:cs="Times New Roman" w:eastAsia="Times New Roman" w:hAnsi="Times New Roman"/>
          <w:b/>
          <w:bCs/>
          <w:i/>
          <w:iCs/>
          <w:sz w:val="24"/>
          <w:szCs w:val="24"/>
        </w:rPr>
        <w:t xml:space="preserve">(a) The allegation. </w:t>
      </w:r>
      <w:r>
        <w:rPr>
          <w:rFonts w:ascii="Times New Roman" w:cs="Times New Roman" w:eastAsia="Times New Roman" w:hAnsi="Times New Roman"/>
          <w:sz w:val="24"/>
          <w:szCs w:val="24"/>
        </w:rPr>
        <w:t xml:space="preserve">The Impugned Order proceeds, in the alternative, under Section 74 of the Act, thereby alleging — expressly or by necessary implication — that the input tax credit was availed by reason of fraud, or wilful misstatement, or suppression of facts with intent to evade tax. That is the only basis on which Section 74, and the extended period and elevated penalty that accompany it, can be pressed into service.</w:t>
      </w:r>
    </w:p>
    <w:p>
      <w:pPr>
        <w:spacing w:after="140" w:line="276"/>
        <w:ind w:left="720"/>
        <w:jc w:val="both"/>
      </w:pPr>
      <w:r>
        <w:rPr>
          <w:rFonts w:ascii="Times New Roman" w:cs="Times New Roman" w:eastAsia="Times New Roman" w:hAnsi="Times New Roman"/>
          <w:b/>
          <w:bCs/>
          <w:i/>
          <w:iCs/>
          <w:sz w:val="24"/>
          <w:szCs w:val="24"/>
        </w:rPr>
        <w:t xml:space="preserve">(b) The governing law. </w:t>
      </w:r>
      <w:r>
        <w:rPr>
          <w:rFonts w:ascii="Times New Roman" w:cs="Times New Roman" w:eastAsia="Times New Roman" w:hAnsi="Times New Roman"/>
          <w:sz w:val="24"/>
          <w:szCs w:val="24"/>
        </w:rPr>
        <w:t xml:space="preserve">Section 74 is not a general charging provision; it is a special provision the exercise of which is conditioned upon the existence of a jurisdictional fact. Unless the proper officer records, on cogent material, a positive finding of (i) fraud, or (ii) wilful misstatement, or (iii) suppression of facts, in each case with intent to evade tax, Section 74 cannot be invoked at all. The three limbs are distinct and each carries a settled meaning: “fraud” connotes a deliberate deception practised to secure an unfair or unlawful gain; “wilful misstatement” connotes a conscious and intentional statement of what is false, the word “wilful” excluding mere error or inadvertence; and “suppression of facts”, as explained in the Explanation to the section and in settled revenue jurisprudence, means the deliberate non-disclosure of a fact which a person was under a legal obligation to disclose, and not a mere omission or a failure that the Department could itself have detected from the returns on record. Mere non-payment of tax, or an availment later found to be erroneous, does not by itself attract Section 74; there must be the additional, deliberate, mental element of intent to evade.</w:t>
      </w:r>
    </w:p>
    <w:p>
      <w:pPr>
        <w:spacing w:after="140" w:line="276"/>
        <w:ind w:left="720"/>
        <w:jc w:val="both"/>
      </w:pPr>
      <w:r>
        <w:rPr>
          <w:rFonts w:ascii="Times New Roman" w:cs="Times New Roman" w:eastAsia="Times New Roman" w:hAnsi="Times New Roman"/>
          <w:b/>
          <w:bCs/>
          <w:i/>
          <w:iCs/>
          <w:sz w:val="24"/>
          <w:szCs w:val="24"/>
        </w:rPr>
        <w:t xml:space="preserve">(c) Application to the facts on record. </w:t>
      </w:r>
      <w:r>
        <w:rPr>
          <w:rFonts w:ascii="Times New Roman" w:cs="Times New Roman" w:eastAsia="Times New Roman" w:hAnsi="Times New Roman"/>
          <w:sz w:val="24"/>
          <w:szCs w:val="24"/>
        </w:rPr>
        <w:t xml:space="preserve">Tested against this threshold, not one of the three limbs is made out. The Appellant disclosed the inward supply and the credit in its periodic returns; the credit was not concealed but was reflected in, and indeed auto-populated into, its GSTR-2A / 2B from the Supplier’s own outward-supply return; the purchase was supported by a valid tax invoice and paid for through banking channels. There was thus full disclosure of every primary fact. The single circumstance on which the demand rests — the cancellation of the Supplier’s registration with retrospective effect — occurred years after the transaction, was an act of the Department itself, and was neither known nor knowable to the Appellant when the credit was availed. A fact that did not exist at the time of the return cannot have been “suppressed” in that return; nor can an event brought about by the Department’s own subsequent action be converted into the Appellant’s fraud or wilful misstatement. The Impugned Order records no finding, supported by material, of any intent to evade on the Appellant’s part — and on these facts none could be recorded.</w:t>
      </w:r>
    </w:p>
    <w:p>
      <w:pPr>
        <w:spacing w:after="140" w:line="276"/>
        <w:ind w:left="720"/>
        <w:jc w:val="both"/>
      </w:pPr>
      <w:r>
        <w:rPr>
          <w:rFonts w:ascii="Times New Roman" w:cs="Times New Roman" w:eastAsia="Times New Roman" w:hAnsi="Times New Roman"/>
          <w:b/>
          <w:bCs/>
          <w:i/>
          <w:iCs/>
          <w:sz w:val="24"/>
          <w:szCs w:val="24"/>
        </w:rPr>
        <w:t xml:space="preserve">(d) Consequence. </w:t>
      </w:r>
      <w:r>
        <w:rPr>
          <w:rFonts w:ascii="Times New Roman" w:cs="Times New Roman" w:eastAsia="Times New Roman" w:hAnsi="Times New Roman"/>
          <w:sz w:val="24"/>
          <w:szCs w:val="24"/>
        </w:rPr>
        <w:t xml:space="preserve">The absence of the jurisdictional fact is not a curable irregularity; it goes to the root of the power. A notice issued under Section 74 without the foundational ingredients is without jurisdiction, and the extended period of limitation that Section 74 alone unlocks is unavailable. The demand, to the extent it depends upon Section 74, must fail in limine.</w:t>
      </w:r>
    </w:p>
    <w:p>
      <w:pPr>
        <w:spacing w:after="140" w:line="276"/>
        <w:ind w:left="720"/>
        <w:jc w:val="both"/>
      </w:pPr>
      <w:r>
        <w:rPr>
          <w:rFonts w:ascii="Times New Roman" w:cs="Times New Roman" w:eastAsia="Times New Roman" w:hAnsi="Times New Roman"/>
          <w:b/>
          <w:bCs/>
          <w:i/>
          <w:iCs/>
          <w:sz w:val="24"/>
          <w:szCs w:val="24"/>
        </w:rPr>
        <w:t xml:space="preserve">(e) Without prejudice — Section 73. </w:t>
      </w:r>
      <w:r>
        <w:rPr>
          <w:rFonts w:ascii="Times New Roman" w:cs="Times New Roman" w:eastAsia="Times New Roman" w:hAnsi="Times New Roman"/>
          <w:sz w:val="24"/>
          <w:szCs w:val="24"/>
        </w:rPr>
        <w:t xml:space="preserve">Even if, contrary to the above, any ineligibility were assumed (which is denied), the matter could at the highest fall under Section 73, which carries no allegation of fraud, a shorter period of limitation, and materially lighter penalty consequences. The Appellant expressly reserves the benefit of Section 73(8) (no penalty where the tax, if any, with interest is paid within thirty days of the notice) without admitting any liability whatsoever.</w:t>
      </w:r>
    </w:p>
    <w:p>
      <w:pPr>
        <w:spacing w:after="140" w:line="276"/>
        <w:ind w:left="720"/>
        <w:jc w:val="both"/>
      </w:pPr>
      <w:r>
        <w:rPr>
          <w:rFonts w:ascii="Times New Roman" w:cs="Times New Roman" w:eastAsia="Times New Roman" w:hAnsi="Times New Roman"/>
          <w:b/>
          <w:bCs/>
          <w:i/>
          <w:iCs/>
          <w:sz w:val="24"/>
          <w:szCs w:val="24"/>
        </w:rPr>
        <w:t xml:space="preserve">(f) Relief sought on this ground. </w:t>
      </w:r>
      <w:r>
        <w:rPr>
          <w:rFonts w:ascii="Times New Roman" w:cs="Times New Roman" w:eastAsia="Times New Roman" w:hAnsi="Times New Roman"/>
          <w:sz w:val="24"/>
          <w:szCs w:val="24"/>
        </w:rPr>
        <w:t xml:space="preserve">The Learned Appellate Authority is respectfully urged to hold that Section 74 was wrongly invoked, to set aside the demand to the extent it rests on Section 74 and the extended period, and to strike down the penalty imposed under that section.</w:t>
      </w:r>
    </w:p>
    <w:p>
      <w:pPr>
        <w:pStyle w:val="Heading2"/>
        <w:spacing w:after="120" w:before="200"/>
      </w:pPr>
      <w:r>
        <w:rPr>
          <w:rFonts w:ascii="Times New Roman" w:cs="Times New Roman" w:eastAsia="Times New Roman" w:hAnsi="Times New Roman"/>
          <w:b/>
          <w:bCs/>
          <w:sz w:val="24"/>
          <w:szCs w:val="24"/>
        </w:rPr>
        <w:t xml:space="preserve">PART III — GROUND 2: THE IMPUGNED ORDER IS A NON-SPEAKING ORDER PASSED IN BREACH OF NATURAL JUSTICE</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The Appellant filed a detailed reply traversing the allegation and producing its documentary trail. The Impugned Order neither sets out that reply nor deals with it; it records no independent finding on the genuineness of the transaction, the receipt of the goods, or the payment made through banking channels; and it confirms the demand on the single, mechanical premise of the Supplier’s retrospective cancellation.</w:t>
      </w:r>
    </w:p>
    <w:p>
      <w:pPr>
        <w:spacing w:after="140" w:line="276"/>
        <w:ind w:left="720"/>
        <w:jc w:val="both"/>
      </w:pPr>
      <w:r>
        <w:rPr>
          <w:rFonts w:ascii="Times New Roman" w:cs="Times New Roman" w:eastAsia="Times New Roman" w:hAnsi="Times New Roman"/>
          <w:b/>
          <w:bCs/>
          <w:i/>
          <w:iCs/>
          <w:sz w:val="24"/>
          <w:szCs w:val="24"/>
        </w:rPr>
        <w:t xml:space="preserve">(b) The law. </w:t>
      </w:r>
      <w:r>
        <w:rPr>
          <w:rFonts w:ascii="Times New Roman" w:cs="Times New Roman" w:eastAsia="Times New Roman" w:hAnsi="Times New Roman"/>
          <w:sz w:val="24"/>
          <w:szCs w:val="24"/>
        </w:rPr>
        <w:t xml:space="preserve">It is a basic incident of a quasi-judicial order, and of Section 75(6) of the Act, that the adjudicating authority must set out the relevant facts and the basis of its decision, and must apply its mind to the assessee’s reply. An order that mechanically confirms a proposal without engaging with the reply is a non-speaking order and is liable to be set aside on that ground alone. This very requirement underlies the remands in </w:t>
      </w:r>
      <w:r>
        <w:rPr>
          <w:rFonts w:ascii="Times New Roman" w:cs="Times New Roman" w:eastAsia="Times New Roman" w:hAnsi="Times New Roman"/>
          <w:i/>
          <w:iCs/>
          <w:sz w:val="24"/>
          <w:szCs w:val="24"/>
        </w:rPr>
        <w:t xml:space="preserve">Ashish Trading</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 cryptic order denying credit set aside) and </w:t>
      </w:r>
      <w:r>
        <w:rPr>
          <w:rFonts w:ascii="Times New Roman" w:cs="Times New Roman" w:eastAsia="Times New Roman" w:hAnsi="Times New Roman"/>
          <w:i/>
          <w:iCs/>
          <w:sz w:val="24"/>
          <w:szCs w:val="24"/>
        </w:rPr>
        <w:t xml:space="preserve">Shraddha Overseas</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 non-speaking appellate order interfered with), discussed in Part V.</w:t>
      </w:r>
    </w:p>
    <w:p>
      <w:pPr>
        <w:spacing w:after="140" w:line="276"/>
        <w:ind w:left="720"/>
        <w:jc w:val="both"/>
      </w:pPr>
      <w:r>
        <w:rPr>
          <w:rFonts w:ascii="Times New Roman" w:cs="Times New Roman" w:eastAsia="Times New Roman" w:hAnsi="Times New Roman"/>
          <w:b/>
          <w:bCs/>
          <w:i/>
          <w:iCs/>
          <w:sz w:val="24"/>
          <w:szCs w:val="24"/>
        </w:rPr>
        <w:t xml:space="preserve">(c) Relief sought on this ground. </w:t>
      </w:r>
      <w:r>
        <w:rPr>
          <w:rFonts w:ascii="Times New Roman" w:cs="Times New Roman" w:eastAsia="Times New Roman" w:hAnsi="Times New Roman"/>
          <w:sz w:val="24"/>
          <w:szCs w:val="24"/>
        </w:rPr>
        <w:t xml:space="preserve">The Impugned Order be set aside as a non-speaking order, and the demand quashed; in the alternative, and without conceding that any remand is warranted on facts as clear as these, the matter be remitted with a direction to pass a reasoned, speaking order after dealing with the Appellant’s reply and documents.</w:t>
      </w:r>
    </w:p>
    <w:p>
      <w:pPr>
        <w:pStyle w:val="Heading2"/>
        <w:spacing w:after="120" w:before="200"/>
      </w:pPr>
      <w:r>
        <w:rPr>
          <w:rFonts w:ascii="Times New Roman" w:cs="Times New Roman" w:eastAsia="Times New Roman" w:hAnsi="Times New Roman"/>
          <w:b/>
          <w:bCs/>
          <w:sz w:val="24"/>
          <w:szCs w:val="24"/>
        </w:rPr>
        <w:t xml:space="preserve">PART IV — GROUND 3: SECTION 16 READ WITH RULE 36 IMPOSES NO CONDITION OF CONTINUING SUPPLIER REGISTRATION</w:t>
      </w:r>
    </w:p>
    <w:p>
      <w:pPr>
        <w:spacing w:after="140" w:line="276"/>
        <w:ind w:left="720"/>
        <w:jc w:val="both"/>
      </w:pPr>
      <w:r>
        <w:rPr>
          <w:rFonts w:ascii="Times New Roman" w:cs="Times New Roman" w:eastAsia="Times New Roman" w:hAnsi="Times New Roman"/>
          <w:b/>
          <w:bCs/>
          <w:i/>
          <w:iCs/>
          <w:sz w:val="24"/>
          <w:szCs w:val="24"/>
        </w:rPr>
        <w:t xml:space="preserve">(a) The allegation. </w:t>
      </w:r>
      <w:r>
        <w:rPr>
          <w:rFonts w:ascii="Times New Roman" w:cs="Times New Roman" w:eastAsia="Times New Roman" w:hAnsi="Times New Roman"/>
          <w:sz w:val="24"/>
          <w:szCs w:val="24"/>
        </w:rPr>
        <w:t xml:space="preserve">The Impugned Order denies the credit on the footing that, because the Supplier’s registration came to be cancelled with retrospective effect, the supplies are to be treated as if made by an unregistered person, rendering the credit inadmissible and reversible.</w:t>
      </w:r>
    </w:p>
    <w:p>
      <w:pPr>
        <w:spacing w:after="140" w:line="276"/>
        <w:ind w:left="720"/>
        <w:jc w:val="both"/>
      </w:pPr>
      <w:r>
        <w:rPr>
          <w:rFonts w:ascii="Times New Roman" w:cs="Times New Roman" w:eastAsia="Times New Roman" w:hAnsi="Times New Roman"/>
          <w:b/>
          <w:bCs/>
          <w:i/>
          <w:iCs/>
          <w:sz w:val="24"/>
          <w:szCs w:val="24"/>
        </w:rPr>
        <w:t xml:space="preserve">(b) The governing law. </w:t>
      </w:r>
      <w:r>
        <w:rPr>
          <w:rFonts w:ascii="Times New Roman" w:cs="Times New Roman" w:eastAsia="Times New Roman" w:hAnsi="Times New Roman"/>
          <w:sz w:val="24"/>
          <w:szCs w:val="24"/>
        </w:rPr>
        <w:t xml:space="preserve">The conditions for availment of credit are exhaustively prescribed by Section 16(2), which opens with a non-obstante clause and permits credit upon the conjunctive satisfaction of four conditions: possession of a tax invoice or other prescribed document; receipt of the goods or services; the tax charged in respect of the supply having been actually paid to the Government, subject to Section 41; and the furnishing of the return under Section 39. Rule 36 prescribes only the documentary basis of the claim. Neither Section 16 nor Rule 36 contains any condition that the Supplier’s registration must continue to subsist as on the date of assessment, still less a condition that a subsequent retrospective cancellation shall divest a recipient of credit validly taken. A condition that the statute does not impose cannot be read into it to the detriment of the assessee.</w:t>
      </w:r>
    </w:p>
    <w:p>
      <w:pPr>
        <w:spacing w:after="140" w:line="276"/>
        <w:ind w:left="720"/>
        <w:jc w:val="both"/>
      </w:pPr>
      <w:r>
        <w:rPr>
          <w:rFonts w:ascii="Times New Roman" w:cs="Times New Roman" w:eastAsia="Times New Roman" w:hAnsi="Times New Roman"/>
          <w:b/>
          <w:bCs/>
          <w:i/>
          <w:iCs/>
          <w:sz w:val="24"/>
          <w:szCs w:val="24"/>
        </w:rPr>
        <w:t xml:space="preserve">(c) The position under Section 16(2)(c) read with Section 41. </w:t>
      </w:r>
      <w:r>
        <w:rPr>
          <w:rFonts w:ascii="Times New Roman" w:cs="Times New Roman" w:eastAsia="Times New Roman" w:hAnsi="Times New Roman"/>
          <w:sz w:val="24"/>
          <w:szCs w:val="24"/>
        </w:rPr>
        <w:t xml:space="preserve">As to the third condition, the Appellant paid the tax to its Supplier, who in turn filed its GSTR-3B for the month of the purchase, so that the tax stood accounted to the Government. Critically, for tax periods </w:t>
      </w:r>
      <w:r>
        <w:rPr>
          <w:rFonts w:ascii="Times New Roman" w:cs="Times New Roman" w:eastAsia="Times New Roman" w:hAnsi="Times New Roman"/>
          <w:b/>
          <w:bCs/>
          <w:sz w:val="24"/>
          <w:szCs w:val="24"/>
        </w:rPr>
        <w:t xml:space="preserve">prior to 1 October 2022</w:t>
      </w:r>
      <w:r>
        <w:rPr>
          <w:rFonts w:ascii="Times New Roman" w:cs="Times New Roman" w:eastAsia="Times New Roman" w:hAnsi="Times New Roman"/>
          <w:sz w:val="24"/>
          <w:szCs w:val="24"/>
        </w:rPr>
        <w:t xml:space="preserve">, Section 41 of the Act contained no machinery casting upon a recipient the burden of reversal on account of a supplier’s subsequent default; the reversal-and-re-availment scheme in the substituted Section 41 and in Rule 37A operates prospectively only. The Impugned Order thus seeks to visit upon a March 2018 transaction a consequence the statute did not provide at the relevant time — an impermissible retrospective application of a substantive condition.</w:t>
      </w:r>
    </w:p>
    <w:p>
      <w:pPr>
        <w:spacing w:after="140" w:line="276"/>
        <w:ind w:left="720"/>
        <w:jc w:val="both"/>
      </w:pPr>
      <w:r>
        <w:rPr>
          <w:rFonts w:ascii="Times New Roman" w:cs="Times New Roman" w:eastAsia="Times New Roman" w:hAnsi="Times New Roman"/>
          <w:b/>
          <w:bCs/>
          <w:i/>
          <w:iCs/>
          <w:sz w:val="24"/>
          <w:szCs w:val="24"/>
        </w:rPr>
        <w:t xml:space="preserve">(d) Application to the facts. </w:t>
      </w:r>
      <w:r>
        <w:rPr>
          <w:rFonts w:ascii="Times New Roman" w:cs="Times New Roman" w:eastAsia="Times New Roman" w:hAnsi="Times New Roman"/>
          <w:sz w:val="24"/>
          <w:szCs w:val="24"/>
        </w:rPr>
        <w:t xml:space="preserve">The Appellant satisfied each of the four conditions of Section 16(2) when the credit was availed, as set out in the Statement of Facts and evidenced at Annexures-2 and 3. No condition known to the statute was unmet; the denial proceeds entirely on a non-statutory condition.</w:t>
      </w:r>
    </w:p>
    <w:p>
      <w:pPr>
        <w:spacing w:after="140" w:line="276"/>
        <w:ind w:left="720"/>
        <w:jc w:val="both"/>
      </w:pPr>
      <w:r>
        <w:rPr>
          <w:rFonts w:ascii="Times New Roman" w:cs="Times New Roman" w:eastAsia="Times New Roman" w:hAnsi="Times New Roman"/>
          <w:b/>
          <w:bCs/>
          <w:i/>
          <w:iCs/>
          <w:sz w:val="24"/>
          <w:szCs w:val="24"/>
        </w:rPr>
        <w:t xml:space="preserve">(e) Relief sought on this ground. </w:t>
      </w:r>
      <w:r>
        <w:rPr>
          <w:rFonts w:ascii="Times New Roman" w:cs="Times New Roman" w:eastAsia="Times New Roman" w:hAnsi="Times New Roman"/>
          <w:sz w:val="24"/>
          <w:szCs w:val="24"/>
        </w:rPr>
        <w:t xml:space="preserve">The Learned Appellate Authority be pleased to hold that the credit was validly availed in compliance with Section 16(2) and Rule 36, that no statutory condition was breached, and to set aside the reversal and the consequent demand.</w:t>
      </w:r>
    </w:p>
    <w:p>
      <w:pPr>
        <w:pStyle w:val="Heading2"/>
        <w:spacing w:after="120" w:before="200"/>
      </w:pPr>
      <w:r>
        <w:rPr>
          <w:rFonts w:ascii="Times New Roman" w:cs="Times New Roman" w:eastAsia="Times New Roman" w:hAnsi="Times New Roman"/>
          <w:b/>
          <w:bCs/>
          <w:sz w:val="24"/>
          <w:szCs w:val="24"/>
        </w:rPr>
        <w:t xml:space="preserve">PART V — GROUND 4: A BONA FIDE RECIPIENT CANNOT BE DENIED CREDIT ON ACCOUNT OF THE SUPPLIER’S SUBSEQUENT RETROSPECTIVE CANCELLATION</w:t>
      </w:r>
    </w:p>
    <w:p>
      <w:pPr>
        <w:spacing w:after="140" w:line="276"/>
        <w:ind w:left="720"/>
        <w:jc w:val="both"/>
      </w:pPr>
      <w:r>
        <w:rPr>
          <w:rFonts w:ascii="Times New Roman" w:cs="Times New Roman" w:eastAsia="Times New Roman" w:hAnsi="Times New Roman"/>
          <w:b/>
          <w:bCs/>
          <w:i/>
          <w:iCs/>
          <w:sz w:val="24"/>
          <w:szCs w:val="24"/>
        </w:rPr>
        <w:t xml:space="preserve">(a) The principle. </w:t>
      </w:r>
      <w:r>
        <w:rPr>
          <w:rFonts w:ascii="Times New Roman" w:cs="Times New Roman" w:eastAsia="Times New Roman" w:hAnsi="Times New Roman"/>
          <w:sz w:val="24"/>
          <w:szCs w:val="24"/>
        </w:rPr>
        <w:t xml:space="preserve">It is settled, across a consistent and substantial line of High Court authority, that a bona fide recipient who has complied with the conditions of Section 16 cannot be denied input tax credit merely because the Supplier’s registration is subsequently cancelled with retrospective effect, subject only to the genuineness of the transaction — which, on the present record, is neither doubted nor disproved.</w:t>
      </w:r>
    </w:p>
    <w:p>
      <w:pPr>
        <w:spacing w:after="140" w:line="276"/>
        <w:ind w:left="720"/>
        <w:jc w:val="both"/>
      </w:pPr>
      <w:r>
        <w:rPr>
          <w:rFonts w:ascii="Times New Roman" w:cs="Times New Roman" w:eastAsia="Times New Roman" w:hAnsi="Times New Roman"/>
          <w:b/>
          <w:bCs/>
          <w:i/>
          <w:iCs/>
          <w:sz w:val="24"/>
          <w:szCs w:val="24"/>
        </w:rPr>
        <w:t xml:space="preserve">(b) The authorities.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M/s LGW Industries Ltd v. Union of India</w:t>
      </w:r>
      <w:r>
        <w:rPr>
          <w:rFonts w:ascii="Times New Roman" w:cs="Times New Roman" w:eastAsia="Times New Roman" w:hAnsi="Times New Roman"/>
          <w:sz w:val="24"/>
          <w:szCs w:val="24"/>
        </w:rPr>
        <w:t xml:space="preserve">, Calcutta High Court, WPA No. 23512 of 2019, dated 13 December 2021</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held that the recipient’s entitlement must be decided by examining the genuineness of the transaction, whether payment with tax was actually made, and whether the purchase preceded the cancellation, and that where these are established the credit must be allowed. This was followed in </w:t>
      </w:r>
      <w:r>
        <w:rPr>
          <w:rFonts w:ascii="Times New Roman" w:cs="Times New Roman" w:eastAsia="Times New Roman" w:hAnsi="Times New Roman"/>
          <w:i/>
          <w:iCs/>
          <w:sz w:val="24"/>
          <w:szCs w:val="24"/>
        </w:rPr>
        <w:t xml:space="preserve">Sanchita Kundu v. Assistant Commissioner of State Tax</w:t>
      </w:r>
      <w:r>
        <w:rPr>
          <w:rFonts w:ascii="Times New Roman" w:cs="Times New Roman" w:eastAsia="Times New Roman" w:hAnsi="Times New Roman"/>
          <w:sz w:val="24"/>
          <w:szCs w:val="24"/>
        </w:rPr>
        <w:t xml:space="preserve">, Calcutta High Court, WPA 7231 of 2022, dated 5 May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Gargo Traders v. Joint Commissioner, Commercial Taxes (State Tax)</w:t>
      </w:r>
      <w:r>
        <w:rPr>
          <w:rFonts w:ascii="Times New Roman" w:cs="Times New Roman" w:eastAsia="Times New Roman" w:hAnsi="Times New Roman"/>
          <w:sz w:val="24"/>
          <w:szCs w:val="24"/>
        </w:rPr>
        <w:t xml:space="preserve">, Calcutta High Court, WPA 1009 of 2022, dated 12 June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on facts directly analogous to the present, the Court held that credit cannot be denied to a bona fide buyer merely because the Supplier’s registration was cancelled retrospectively, where the Supplier appeared as registered on the portal at the time of the transaction, payment was made through banking channels and no collusion was alleged. In </w:t>
      </w:r>
      <w:r>
        <w:rPr>
          <w:rFonts w:ascii="Times New Roman" w:cs="Times New Roman" w:eastAsia="Times New Roman" w:hAnsi="Times New Roman"/>
          <w:i/>
          <w:iCs/>
          <w:sz w:val="24"/>
          <w:szCs w:val="24"/>
        </w:rPr>
        <w:t xml:space="preserve">Shraddha Overseas Private Limited</w:t>
      </w:r>
      <w:r>
        <w:rPr>
          <w:rFonts w:ascii="Times New Roman" w:cs="Times New Roman" w:eastAsia="Times New Roman" w:hAnsi="Times New Roman"/>
          <w:sz w:val="24"/>
          <w:szCs w:val="24"/>
        </w:rPr>
        <w:t xml:space="preserve">, Calcutta High Court (DB), M.A.T No. 1860 of 2022, dated 16 December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held that to treat a supplier as non-existent there must be material showing the absence of valid registration on the date of the transaction. In </w:t>
      </w:r>
      <w:r>
        <w:rPr>
          <w:rFonts w:ascii="Times New Roman" w:cs="Times New Roman" w:eastAsia="Times New Roman" w:hAnsi="Times New Roman"/>
          <w:i/>
          <w:iCs/>
          <w:sz w:val="24"/>
          <w:szCs w:val="24"/>
        </w:rPr>
        <w:t xml:space="preserve">Diamond Beverages Private Limited</w:t>
      </w:r>
      <w:r>
        <w:rPr>
          <w:rFonts w:ascii="Times New Roman" w:cs="Times New Roman" w:eastAsia="Times New Roman" w:hAnsi="Times New Roman"/>
          <w:sz w:val="24"/>
          <w:szCs w:val="24"/>
        </w:rPr>
        <w:t xml:space="preserve">, Calcutta High Court (DB), M.A.T. 1948 of 2023, dated 15 December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interfered with a notice issued without any inquiry at the Supplier’s end. And in </w:t>
      </w:r>
      <w:r>
        <w:rPr>
          <w:rFonts w:ascii="Times New Roman" w:cs="Times New Roman" w:eastAsia="Times New Roman" w:hAnsi="Times New Roman"/>
          <w:i/>
          <w:iCs/>
          <w:sz w:val="24"/>
          <w:szCs w:val="24"/>
        </w:rPr>
        <w:t xml:space="preserve">Ashish Trading Company v. State of U.P.</w:t>
      </w:r>
      <w:r>
        <w:rPr>
          <w:rFonts w:ascii="Times New Roman" w:cs="Times New Roman" w:eastAsia="Times New Roman" w:hAnsi="Times New Roman"/>
          <w:sz w:val="24"/>
          <w:szCs w:val="24"/>
        </w:rPr>
        <w:t xml:space="preserve">, Allahabad High Court, Writ Tax Nos. 228–231 of 2021, dated 6 December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credit denied on a cryptic order, without even recording the date of cancellation, was set aside.</w:t>
      </w:r>
    </w:p>
    <w:p>
      <w:pPr>
        <w:spacing w:after="140" w:line="276"/>
        <w:ind w:left="720"/>
        <w:jc w:val="both"/>
      </w:pPr>
      <w:r>
        <w:rPr>
          <w:rFonts w:ascii="Times New Roman" w:cs="Times New Roman" w:eastAsia="Times New Roman" w:hAnsi="Times New Roman"/>
          <w:b/>
          <w:bCs/>
          <w:i/>
          <w:iCs/>
          <w:sz w:val="24"/>
          <w:szCs w:val="24"/>
        </w:rPr>
        <w:t xml:space="preserve">(c) Application to the facts. </w:t>
      </w:r>
      <w:r>
        <w:rPr>
          <w:rFonts w:ascii="Times New Roman" w:cs="Times New Roman" w:eastAsia="Times New Roman" w:hAnsi="Times New Roman"/>
          <w:sz w:val="24"/>
          <w:szCs w:val="24"/>
        </w:rPr>
        <w:t xml:space="preserve">Every fact that attracted relief in the authorities above is present here: the Supplier was registered on the portal when the Appellant transacted; the purchase preceded the cancellation; payment was through banking channels; the credit was reflected in GSTR-2A / 2B; and no collusion, cash-back or non-receipt is alleged. The Appellant’s case is, if anything, stronger, the cancellation here having been given effect from a date anterior even to the transaction.</w:t>
      </w:r>
    </w:p>
    <w:p>
      <w:pPr>
        <w:spacing w:after="140" w:line="276"/>
        <w:ind w:left="720"/>
        <w:jc w:val="both"/>
      </w:pPr>
      <w:r>
        <w:rPr>
          <w:rFonts w:ascii="Times New Roman" w:cs="Times New Roman" w:eastAsia="Times New Roman" w:hAnsi="Times New Roman"/>
          <w:b/>
          <w:bCs/>
          <w:i/>
          <w:iCs/>
          <w:sz w:val="24"/>
          <w:szCs w:val="24"/>
        </w:rPr>
        <w:t xml:space="preserve">(d) Relief sought on this ground. </w:t>
      </w:r>
      <w:r>
        <w:rPr>
          <w:rFonts w:ascii="Times New Roman" w:cs="Times New Roman" w:eastAsia="Times New Roman" w:hAnsi="Times New Roman"/>
          <w:sz w:val="24"/>
          <w:szCs w:val="24"/>
        </w:rPr>
        <w:t xml:space="preserve">The Learned Appellate Authority be pleased to hold that the Appellant is a bona fide recipient protected by the above line of authority and that the retrospective cancellation of the Supplier’s registration does not defeat its credit, and to set aside the demand accordingly.</w:t>
      </w:r>
    </w:p>
    <w:p>
      <w:pPr>
        <w:pStyle w:val="Heading2"/>
        <w:spacing w:after="120" w:before="200"/>
      </w:pPr>
      <w:r>
        <w:rPr>
          <w:rFonts w:ascii="Times New Roman" w:cs="Times New Roman" w:eastAsia="Times New Roman" w:hAnsi="Times New Roman"/>
          <w:b/>
          <w:bCs/>
          <w:sz w:val="24"/>
          <w:szCs w:val="24"/>
        </w:rPr>
        <w:t xml:space="preserve">PART VI — GROUND 5: RECOVERY MUST FIRST BE MADE FROM THE DEFAULTING SUPPLIER; THE BURDEN UNDER SECTION 155 STANDS DISCHARGED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Even on the assumption (denied) that tax remained unpaid at the Supplier’s end, the law does not permit the Department to bypass the defaulting Supplier and proceed directly against a bona fide recipient who has paid the tax to that Supplier. In </w:t>
      </w:r>
      <w:r>
        <w:rPr>
          <w:rFonts w:ascii="Times New Roman" w:cs="Times New Roman" w:eastAsia="Times New Roman" w:hAnsi="Times New Roman"/>
          <w:i/>
          <w:iCs/>
          <w:sz w:val="24"/>
          <w:szCs w:val="24"/>
        </w:rPr>
        <w:t xml:space="preserve">D.Y. Beathel Enterprises v. State Tax Officer (Data Cell)</w:t>
      </w:r>
      <w:r>
        <w:rPr>
          <w:rFonts w:ascii="Times New Roman" w:cs="Times New Roman" w:eastAsia="Times New Roman" w:hAnsi="Times New Roman"/>
          <w:sz w:val="24"/>
          <w:szCs w:val="24"/>
        </w:rPr>
        <w:t xml:space="preserve">, Madras High Court (Madurai Bench), W.P.(MD) Nos. 2127 of 2021 and connected, dated 24 February 2021</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held that where the Supplier collected tax but did not remit it, recovery must be made from the Supplier first, and the recipient’s credit cannot be reversed without examining and proceeding against that Supplier. This accords with the administrative position recorded in the Press Release dated 4 May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following the 27th GST Council meeting — that there shall be no automatic reversal of credit from the buyer for the seller’s non-payment, recovery being made first from the seller and reversal from the buyer confined to exceptional cases such as a missing dealer or a seller without adequate assets. </w:t>
      </w:r>
      <w:r>
        <w:rPr>
          <w:rFonts w:ascii="Times New Roman" w:cs="Times New Roman" w:eastAsia="Times New Roman" w:hAnsi="Times New Roman"/>
          <w:i/>
          <w:iCs/>
          <w:sz w:val="24"/>
          <w:szCs w:val="24"/>
        </w:rPr>
        <w:t xml:space="preserve">The Appellant relies on the Press Release as evidence of the Government’s own stated position; it is a GST Council / PIB press release and not a circular under Section 168.</w:t>
      </w:r>
    </w:p>
    <w:p>
      <w:pPr>
        <w:spacing w:after="140" w:line="276"/>
        <w:ind w:left="720"/>
        <w:jc w:val="both"/>
      </w:pPr>
      <w:r>
        <w:rPr>
          <w:rFonts w:ascii="Times New Roman" w:cs="Times New Roman" w:eastAsia="Times New Roman" w:hAnsi="Times New Roman"/>
          <w:b/>
          <w:bCs/>
          <w:i/>
          <w:iCs/>
          <w:sz w:val="24"/>
          <w:szCs w:val="24"/>
        </w:rPr>
        <w:t xml:space="preserve">Burden of proof — Section 155. </w:t>
      </w:r>
      <w:r>
        <w:rPr>
          <w:rFonts w:ascii="Times New Roman" w:cs="Times New Roman" w:eastAsia="Times New Roman" w:hAnsi="Times New Roman"/>
          <w:sz w:val="24"/>
          <w:szCs w:val="24"/>
        </w:rPr>
        <w:t xml:space="preserve">While Section 155 places on the person claiming credit the burden of proving entitlement, that burden here stands discharged: the Appellant has produced the tax invoice, the GSTR-2A / 2B reflection, the banking-channel payment trail and proof of receipt of the goods. The evidential onus thereupon shifts to the Revenue to establish, by specific and cogent material, that the transaction was not genuine — which the Impugned Order does not attempt, no collusion, cash-back or non-receipt of goods being alleged, let alone proved. The Learned Appellate Authority is urged to hold the Section 155 burden discharged and the credit established.</w:t>
      </w:r>
    </w:p>
    <w:p>
      <w:pPr>
        <w:pStyle w:val="Heading2"/>
        <w:spacing w:after="120" w:before="200"/>
      </w:pPr>
      <w:r>
        <w:rPr>
          <w:rFonts w:ascii="Times New Roman" w:cs="Times New Roman" w:eastAsia="Times New Roman" w:hAnsi="Times New Roman"/>
          <w:b/>
          <w:bCs/>
          <w:sz w:val="24"/>
          <w:szCs w:val="24"/>
        </w:rPr>
        <w:t xml:space="preserve">PART VII — GROUND 6 (WITHOUT PREJUDICE): ALTERNATIVE STATUTORY RELIEF UNDER SECTIONS 16(5) AND 16(6)</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to the foregoing, to the extent the disputed credit pertains to any of the financial years 2017-18 to 2020-21, the Appellant relies on Section 16(5) of the Act (inserted by the Finance (No. 2) Act, 2024 with retrospective effect from 1 July 2017, notified by Notification No. 17/2024-Central Tax dated 27 September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entitles a registered person to credit for those years in any return filed up to 30 November 2021, notwithstanding the time-limit in Section 16(4). Section 16(6) further relieves cases where a registration was cancelled and thereafter revoked. The mechanism for giving effect to these provisions in respect of orders already passed is in Circular No. 237/31/2024-GST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This is an alternative, protective plea: the primary ground of denial is the Supplier’s retrospective cancellation, to which Sections 16(5)/16(6) are a secondary safeguard rather than the principal answer; the Appellant invokes them to the extent the record shows the denial to engage the Section 16(4) timeline.</w:t>
      </w:r>
    </w:p>
    <w:p>
      <w:pPr>
        <w:pStyle w:val="Heading2"/>
        <w:spacing w:after="120" w:before="200"/>
      </w:pPr>
      <w:r>
        <w:rPr>
          <w:rFonts w:ascii="Times New Roman" w:cs="Times New Roman" w:eastAsia="Times New Roman" w:hAnsi="Times New Roman"/>
          <w:b/>
          <w:bCs/>
          <w:sz w:val="24"/>
          <w:szCs w:val="24"/>
        </w:rPr>
        <w:t xml:space="preserve">PART VIII — GROUND 7 (WITHOUT PREJUDICE): INTEREST AND PENALTY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demand of interest under Section 50 and the penalty are wholly consequential upon the substantive demand. Once the demand fails on any of the grounds above, neither interest nor penalty can survive. Further, and in any event, interest under Section 50(3) is attracted only where credit has been wrongly availed and utilised; mere availment, without utilisation, does not attract interest — a matter to be verified from the electronic credit ledger. As to penalty, for the reasons in Ground 1 no penalty under Section 74 lies in the absence of fraud, wilful misstatement or suppression; and were the matter to fall under Section 73 (which is denied), the penalty consequences are materially lighter and, on payment within the prescribed period, nil. These pleas are advanced strictly in the alternative and without prejudice to the Appellant’s primary case that the credit is fully eligible.</w:t>
      </w:r>
    </w:p>
    <w:p>
      <w:pPr>
        <w:pStyle w:val="Heading1"/>
        <w:spacing w:after="140" w:before="280"/>
      </w:pPr>
      <w:r>
        <w:rPr>
          <w:rFonts w:ascii="Times New Roman" w:cs="Times New Roman" w:eastAsia="Times New Roman" w:hAnsi="Times New Roman"/>
          <w:b/>
          <w:bCs/>
          <w:sz w:val="26"/>
          <w:szCs w:val="26"/>
        </w:rPr>
        <w:t xml:space="preserve">SCHEDULE OF AUTHORITIES RELIED UPON</w:t>
      </w:r>
    </w:p>
    <w:p>
      <w:pPr>
        <w:spacing w:after="160" w:line="276"/>
        <w:jc w:val="both"/>
      </w:pPr>
      <w:r>
        <w:rPr>
          <w:rFonts w:ascii="Times New Roman" w:cs="Times New Roman" w:eastAsia="Times New Roman" w:hAnsi="Times New Roman"/>
          <w:i/>
          <w:iCs/>
          <w:sz w:val="24"/>
          <w:szCs w:val="24"/>
        </w:rPr>
        <w:t xml:space="preserve">Every case authority below is marked </w:t>
      </w:r>
      <w:r>
        <w:rPr>
          <w:rFonts w:ascii="Times New Roman" w:cs="Times New Roman" w:eastAsia="Times New Roman" w:hAnsi="Times New Roman"/>
          <w:b/>
          <w:bCs/>
          <w:i/>
          <w:iCs/>
          <w:sz w:val="24"/>
          <w:szCs w:val="24"/>
        </w:rPr>
        <w:t xml:space="preserve">[VERIFY]</w:t>
      </w:r>
      <w:r>
        <w:rPr>
          <w:rFonts w:ascii="Times New Roman" w:cs="Times New Roman" w:eastAsia="Times New Roman" w:hAnsi="Times New Roman"/>
          <w:i/>
          <w:iCs/>
          <w:sz w:val="24"/>
          <w:szCs w:val="24"/>
        </w:rPr>
        <w:t xml:space="preserve"> for a final reporter-check (case name, citation, court, paragraph) before filing. Statutory provisions and rules are relied upon as in force for the relevant period.</w:t>
      </w:r>
    </w:p>
    <w:p>
      <w:pPr>
        <w:spacing w:after="160" w:line="276"/>
        <w:jc w:val="both"/>
      </w:pPr>
      <w:r>
        <w:rPr>
          <w:rFonts w:ascii="Times New Roman" w:cs="Times New Roman" w:eastAsia="Times New Roman" w:hAnsi="Times New Roman"/>
          <w:b/>
          <w:bCs/>
          <w:sz w:val="24"/>
          <w:szCs w:val="24"/>
        </w:rPr>
        <w:t xml:space="preserve">A. Bona fide recipient protected against retrospective supplier cancellation</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M/s LGW Industries Ltd &amp; Ors. v. Union of India &amp; Ors.</w:t>
      </w:r>
      <w:r>
        <w:rPr>
          <w:rFonts w:ascii="Times New Roman" w:cs="Times New Roman" w:eastAsia="Times New Roman" w:hAnsi="Times New Roman"/>
          <w:sz w:val="24"/>
          <w:szCs w:val="24"/>
        </w:rPr>
        <w:t xml:space="preserve">, Calcutta HC, WPA No. 23512 of 2019, dated 13.12.2021 (unreported — rely on certified copy).</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Sanchita Kundu &amp; Anr. v. Assistant Commissioner of State Tax</w:t>
      </w:r>
      <w:r>
        <w:rPr>
          <w:rFonts w:ascii="Times New Roman" w:cs="Times New Roman" w:eastAsia="Times New Roman" w:hAnsi="Times New Roman"/>
          <w:sz w:val="24"/>
          <w:szCs w:val="24"/>
        </w:rPr>
        <w:t xml:space="preserve">, Calcutta HC, WPA 7231 of 2022, dated 05.05.2022.</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Shraddha Overseas Private Limited</w:t>
      </w:r>
      <w:r>
        <w:rPr>
          <w:rFonts w:ascii="Times New Roman" w:cs="Times New Roman" w:eastAsia="Times New Roman" w:hAnsi="Times New Roman"/>
          <w:sz w:val="24"/>
          <w:szCs w:val="24"/>
        </w:rPr>
        <w:t xml:space="preserve">, Calcutta HC (DB), M.A.T No. 1860 of 2022 with CAN 1 &amp; 2 of 2022, dated 16.12.2022.</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Gargo Traders v. Joint Commissioner, Commercial Taxes (State Tax)</w:t>
      </w:r>
      <w:r>
        <w:rPr>
          <w:rFonts w:ascii="Times New Roman" w:cs="Times New Roman" w:eastAsia="Times New Roman" w:hAnsi="Times New Roman"/>
          <w:sz w:val="24"/>
          <w:szCs w:val="24"/>
        </w:rPr>
        <w:t xml:space="preserve">, Calcutta HC, WPA 1009 of 2022, dated 12.06.2023.</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Ashish Trading Company v. State of U.P.</w:t>
      </w:r>
      <w:r>
        <w:rPr>
          <w:rFonts w:ascii="Times New Roman" w:cs="Times New Roman" w:eastAsia="Times New Roman" w:hAnsi="Times New Roman"/>
          <w:sz w:val="24"/>
          <w:szCs w:val="24"/>
        </w:rPr>
        <w:t xml:space="preserve">, Allahabad HC, Writ Tax Nos. 228–231 of 2021, dated 06.12.2022 (relied on for the “cryptic / non-speaking order” proposition).</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Diamond Beverages Private Limited</w:t>
      </w:r>
      <w:r>
        <w:rPr>
          <w:rFonts w:ascii="Times New Roman" w:cs="Times New Roman" w:eastAsia="Times New Roman" w:hAnsi="Times New Roman"/>
          <w:sz w:val="24"/>
          <w:szCs w:val="24"/>
        </w:rPr>
        <w:t xml:space="preserve">, Calcutta HC (DB), M.A.T. 1948 of 2023 with CAN 1 of 2023, dated 15.12.2023.</w:t>
      </w:r>
      <w:r>
        <w:rPr>
          <w:rFonts w:ascii="Times New Roman" w:cs="Times New Roman" w:eastAsia="Times New Roman" w:hAnsi="Times New Roman"/>
          <w:b/>
          <w:bCs/>
          <w:sz w:val="24"/>
          <w:szCs w:val="24"/>
        </w:rPr>
        <w:t xml:space="preserve"> [VERIFY]</w:t>
      </w:r>
    </w:p>
    <w:p>
      <w:pPr>
        <w:spacing w:after="160" w:line="276"/>
        <w:jc w:val="both"/>
      </w:pPr>
      <w:r>
        <w:rPr>
          <w:rFonts w:ascii="Times New Roman" w:cs="Times New Roman" w:eastAsia="Times New Roman" w:hAnsi="Times New Roman"/>
          <w:b/>
          <w:bCs/>
          <w:sz w:val="24"/>
          <w:szCs w:val="24"/>
        </w:rPr>
        <w:t xml:space="preserve">B. Recovery from supplier first / administrative intent</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D.Y. Beathel Enterprises v. State Tax Officer (Data Cell)</w:t>
      </w:r>
      <w:r>
        <w:rPr>
          <w:rFonts w:ascii="Times New Roman" w:cs="Times New Roman" w:eastAsia="Times New Roman" w:hAnsi="Times New Roman"/>
          <w:sz w:val="24"/>
          <w:szCs w:val="24"/>
        </w:rPr>
        <w:t xml:space="preserve">, Madras HC (Madurai Bench), W.P.(MD) Nos. 2127 of 2021 &amp; connected, dated 24.02.2021.</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sz w:val="24"/>
          <w:szCs w:val="24"/>
        </w:rPr>
        <w:t xml:space="preserve">Press Release dated 04.05.2018 (27th GST Council meeting / PIB) — no automatic reversal of buyer’s credit for seller’s non-payment </w:t>
      </w:r>
      <w:r>
        <w:rPr>
          <w:rFonts w:ascii="Times New Roman" w:cs="Times New Roman" w:eastAsia="Times New Roman" w:hAnsi="Times New Roman"/>
          <w:i/>
          <w:iCs/>
          <w:sz w:val="24"/>
          <w:szCs w:val="24"/>
        </w:rPr>
        <w:t xml:space="preserve">(a Council/PIB press release, not a Section 168 circular).</w:t>
      </w:r>
      <w:r>
        <w:rPr>
          <w:rFonts w:ascii="Times New Roman" w:cs="Times New Roman" w:eastAsia="Times New Roman" w:hAnsi="Times New Roman"/>
          <w:b/>
          <w:bCs/>
          <w:sz w:val="24"/>
          <w:szCs w:val="24"/>
        </w:rPr>
        <w:t xml:space="preserve"> [VERIFY]</w:t>
      </w:r>
    </w:p>
    <w:p>
      <w:pPr>
        <w:spacing w:after="160" w:line="276"/>
        <w:jc w:val="both"/>
      </w:pPr>
      <w:r>
        <w:rPr>
          <w:rFonts w:ascii="Times New Roman" w:cs="Times New Roman" w:eastAsia="Times New Roman" w:hAnsi="Times New Roman"/>
          <w:b/>
          <w:bCs/>
          <w:sz w:val="24"/>
          <w:szCs w:val="24"/>
        </w:rPr>
        <w:t xml:space="preserve">C. Adverse authorities addressed / distinguished</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State of Karnataka v. Ecom Gill Coffee Trading Pvt. Ltd.</w:t>
      </w:r>
      <w:r>
        <w:rPr>
          <w:rFonts w:ascii="Times New Roman" w:cs="Times New Roman" w:eastAsia="Times New Roman" w:hAnsi="Times New Roman"/>
          <w:sz w:val="24"/>
          <w:szCs w:val="24"/>
        </w:rPr>
        <w:t xml:space="preserve">, Supreme Court, Civil Appeal No. 230 of 2023 &amp; connected, dated 13.03.2023 (distinguished).</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Aastha Enterprises v. State of Bihar</w:t>
      </w:r>
      <w:r>
        <w:rPr>
          <w:rFonts w:ascii="Times New Roman" w:cs="Times New Roman" w:eastAsia="Times New Roman" w:hAnsi="Times New Roman"/>
          <w:sz w:val="24"/>
          <w:szCs w:val="24"/>
        </w:rPr>
        <w:t xml:space="preserve">, Patna HC, CWJC No. 10395 of 2023, dated 18.08.2023 (contrary view, distinguished).</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Malik Traders v. State of U.P.</w:t>
      </w:r>
      <w:r>
        <w:rPr>
          <w:rFonts w:ascii="Times New Roman" w:cs="Times New Roman" w:eastAsia="Times New Roman" w:hAnsi="Times New Roman"/>
          <w:sz w:val="24"/>
          <w:szCs w:val="24"/>
        </w:rPr>
        <w:t xml:space="preserve">, Allahabad HC, Writ Tax No. 1237 of 2021, dated 18.10.2023 (contrary view, distinguished).</w:t>
      </w:r>
      <w:r>
        <w:rPr>
          <w:rFonts w:ascii="Times New Roman" w:cs="Times New Roman" w:eastAsia="Times New Roman" w:hAnsi="Times New Roman"/>
          <w:b/>
          <w:bCs/>
          <w:sz w:val="24"/>
          <w:szCs w:val="24"/>
        </w:rPr>
        <w:t xml:space="preserve"> [VERIFY]</w:t>
      </w:r>
    </w:p>
    <w:p>
      <w:pPr>
        <w:spacing w:after="160" w:line="276"/>
        <w:jc w:val="both"/>
      </w:pPr>
      <w:r>
        <w:rPr>
          <w:rFonts w:ascii="Times New Roman" w:cs="Times New Roman" w:eastAsia="Times New Roman" w:hAnsi="Times New Roman"/>
          <w:b/>
          <w:bCs/>
          <w:sz w:val="24"/>
          <w:szCs w:val="24"/>
        </w:rPr>
        <w:t xml:space="preserve">D. Statutory framework</w:t>
      </w:r>
    </w:p>
    <w:p>
      <w:pPr>
        <w:pStyle w:val="ListParagraph"/>
        <w:numPr>
          <w:ilvl w:val="0"/>
          <w:numId w:val="4"/>
        </w:numPr>
        <w:spacing w:after="120" w:line="276"/>
        <w:jc w:val="both"/>
      </w:pPr>
      <w:r>
        <w:rPr>
          <w:rFonts w:ascii="Times New Roman" w:cs="Times New Roman" w:eastAsia="Times New Roman" w:hAnsi="Times New Roman"/>
          <w:sz w:val="24"/>
          <w:szCs w:val="24"/>
        </w:rPr>
        <w:t xml:space="preserve">Sections 16(1), 16(2)(a)–(d), 16(4), 16(5), 16(6), 41, 50, 73, 74, 107(6) and 155 of the CGST Act, 2017; Rules 36 and 37A of the CGST Rules, 2017; Notification No. 17/2024-Central Tax dated 27.09.2024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Circular No. 237/31/2024-GST dated 15.10.2024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In view of the foregoing submissions, the documents on record and the authorities relied upon, the Appellant most respectfully prays that the Learned Appellate Authority be pleased to:</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SET ASIDE </w:t>
      </w:r>
      <w:r>
        <w:rPr>
          <w:rFonts w:ascii="Times New Roman" w:cs="Times New Roman" w:eastAsia="Times New Roman" w:hAnsi="Times New Roman"/>
          <w:sz w:val="24"/>
          <w:szCs w:val="24"/>
        </w:rPr>
        <w:t xml:space="preserve">the Impugned Order in Form GST DRC-07, Reference No. [____] dated [____], and the demand confirmed thereby;</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HOLD </w:t>
      </w:r>
      <w:r>
        <w:rPr>
          <w:rFonts w:ascii="Times New Roman" w:cs="Times New Roman" w:eastAsia="Times New Roman" w:hAnsi="Times New Roman"/>
          <w:sz w:val="24"/>
          <w:szCs w:val="24"/>
        </w:rPr>
        <w:t xml:space="preserve">that Section 16 read with Rule 36 imposes no condition of continuing supplier registration, and that the Appellant, having satisfied the conditions of Section 16(2), is entitled to the credit of Rs. 10 availed on the inward supply from M/s ABC Ltd;</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HOLD </w:t>
      </w:r>
      <w:r>
        <w:rPr>
          <w:rFonts w:ascii="Times New Roman" w:cs="Times New Roman" w:eastAsia="Times New Roman" w:hAnsi="Times New Roman"/>
          <w:sz w:val="24"/>
          <w:szCs w:val="24"/>
        </w:rPr>
        <w:t xml:space="preserve">that the retrospective cancellation of the Supplier’s registration, effected long after the transaction, cannot defeat the Appellant’s bona fide and documented credit;</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HOLD </w:t>
      </w:r>
      <w:r>
        <w:rPr>
          <w:rFonts w:ascii="Times New Roman" w:cs="Times New Roman" w:eastAsia="Times New Roman" w:hAnsi="Times New Roman"/>
          <w:sz w:val="24"/>
          <w:szCs w:val="24"/>
        </w:rPr>
        <w:t xml:space="preserve">that recovery, if any, was required to be made first from the defaulting Supplier, and that the Appellant has discharged its burden under Section 155;</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HOLD </w:t>
      </w:r>
      <w:r>
        <w:rPr>
          <w:rFonts w:ascii="Times New Roman" w:cs="Times New Roman" w:eastAsia="Times New Roman" w:hAnsi="Times New Roman"/>
          <w:sz w:val="24"/>
          <w:szCs w:val="24"/>
        </w:rPr>
        <w:t xml:space="preserve">without prejudice, that the demand could at most fall under Section 73 and not Section 74, no fraud, wilful misstatement or suppression being attributable to the Appellant;</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DELETE </w:t>
      </w:r>
      <w:r>
        <w:rPr>
          <w:rFonts w:ascii="Times New Roman" w:cs="Times New Roman" w:eastAsia="Times New Roman" w:hAnsi="Times New Roman"/>
          <w:sz w:val="24"/>
          <w:szCs w:val="24"/>
        </w:rPr>
        <w:t xml:space="preserve">the interest under Section 50 and the penalty, the same being consequential and unsustainable;</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GRANT </w:t>
      </w:r>
      <w:r>
        <w:rPr>
          <w:rFonts w:ascii="Times New Roman" w:cs="Times New Roman" w:eastAsia="Times New Roman" w:hAnsi="Times New Roman"/>
          <w:sz w:val="24"/>
          <w:szCs w:val="24"/>
        </w:rPr>
        <w:t xml:space="preserve">the Appellant a personal hearing through its Authorised Representative before passing any order; and</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PASS </w:t>
      </w:r>
      <w:r>
        <w:rPr>
          <w:rFonts w:ascii="Times New Roman" w:cs="Times New Roman" w:eastAsia="Times New Roman" w:hAnsi="Times New Roman"/>
          <w:sz w:val="24"/>
          <w:szCs w:val="24"/>
        </w:rPr>
        <w:t xml:space="preserve">such further or other orders as may be just, equitable and proper.</w:t>
      </w:r>
    </w:p>
    <w:p>
      <w:pPr>
        <w:spacing w:after="160" w:line="276"/>
        <w:jc w:val="both"/>
      </w:pPr>
      <w:r>
        <w:rPr>
          <w:rFonts w:ascii="Times New Roman" w:cs="Times New Roman" w:eastAsia="Times New Roman" w:hAnsi="Times New Roman"/>
          <w:i/>
          <w:iCs/>
          <w:sz w:val="24"/>
          <w:szCs w:val="24"/>
        </w:rPr>
        <w:t xml:space="preserve">The Appellant reserves the right to file additional submissions and to present oral arguments at the personal hearing. Nothing herein shall be construed as a waiver of any right or defence.</w:t>
      </w:r>
    </w:p>
    <w:p>
      <w:pPr>
        <w:spacing w:after="160" w:line="276"/>
        <w:jc w:val="both"/>
      </w:pPr>
      <w:r>
        <w:rPr>
          <w:rFonts w:ascii="Times New Roman" w:cs="Times New Roman" w:eastAsia="Times New Roman" w:hAnsi="Times New Roman"/>
          <w:b/>
          <w:bCs/>
          <w:sz w:val="24"/>
          <w:szCs w:val="24"/>
        </w:rPr>
        <w:t xml:space="preserve">Note on the onward appellate remedy (for the record): </w:t>
      </w:r>
      <w:r>
        <w:rPr>
          <w:rFonts w:ascii="Times New Roman" w:cs="Times New Roman" w:eastAsia="Times New Roman" w:hAnsi="Times New Roman"/>
          <w:i/>
          <w:iCs/>
          <w:sz w:val="24"/>
          <w:szCs w:val="24"/>
        </w:rPr>
        <w:t xml:space="preserve">the GST Appellate Tribunal is now operational. Should this appeal not succeed, the Appellant’s further appeal lies under Section 112; for first-appeal orders communicated before 1 April 2026 the Tribunal appeal must be filed by 30 June 2026 (Notification S.O. 4220(E) dated 17 September 2025), and on payment of the pre-deposit under Section 112(8) — 10% of the remaining disputed tax (Finance (No. 2) Act, 2024), or 10% of the penalty in a penalty-only matter — recovery of the balance stands stayed under Section 112(9). The applicable dates and amounts must be confirmed against the order and the notifications in force at the time.</w:t>
      </w:r>
    </w:p>
    <w:p>
      <w:pPr>
        <w:pStyle w:val="Heading1"/>
        <w:spacing w:after="140" w:before="280"/>
      </w:pPr>
      <w:r>
        <w:rPr>
          <w:rFonts w:ascii="Times New Roman" w:cs="Times New Roman" w:eastAsia="Times New Roman" w:hAnsi="Times New Roman"/>
          <w:b/>
          <w:bCs/>
          <w:sz w:val="26"/>
          <w:szCs w:val="26"/>
        </w:rPr>
        <w:t xml:space="preserve">VERIFICATION AND DECLARATION</w:t>
      </w:r>
    </w:p>
    <w:p>
      <w:pPr>
        <w:spacing w:after="160" w:line="276"/>
        <w:jc w:val="both"/>
      </w:pPr>
      <w:r>
        <w:rPr>
          <w:rFonts w:ascii="Times New Roman" w:cs="Times New Roman" w:eastAsia="Times New Roman" w:hAnsi="Times New Roman"/>
          <w:sz w:val="24"/>
          <w:szCs w:val="24"/>
        </w:rPr>
        <w:t xml:space="preserve">I, [Name], [Director / Authorised Signatory] of M/s Noticedesk Technologies Private Limited, do hereby solemnly affirm and declare that the information given hereinabove is true and correct to the best of my knowledge and belief and that nothing material has been concealed therefrom.</w:t>
      </w:r>
    </w:p>
    <w:p>
      <w:pPr>
        <w:spacing w:after="60" w:before="240"/>
      </w:pPr>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4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01/12/2022</w:t>
      </w:r>
    </w:p>
    <w:p>
      <w:pPr>
        <w:spacing w:before="120"/>
      </w:pPr>
      <w:r>
        <w:rPr>
          <w:rFonts w:ascii="Times New Roman" w:cs="Times New Roman" w:eastAsia="Times New Roman" w:hAnsi="Times New Roman"/>
          <w:i/>
          <w:iCs/>
          <w:sz w:val="24"/>
          <w:szCs w:val="24"/>
        </w:rPr>
        <w:t xml:space="preserve">Filed through [____], Authorised Representative.</w:t>
      </w:r>
    </w:p>
    <w:p>
      <w:pPr>
        <w:pStyle w:val="Heading1"/>
        <w:spacing w:after="140" w:before="280"/>
      </w:pPr>
      <w:r>
        <w:rPr>
          <w:rFonts w:ascii="Times New Roman" w:cs="Times New Roman" w:eastAsia="Times New Roman" w:hAnsi="Times New Roman"/>
          <w:b/>
          <w:bCs/>
          <w:sz w:val="26"/>
          <w:szCs w:val="26"/>
        </w:rPr>
        <w:t xml:space="preserve">INDEX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Annx.</w:t>
            </w:r>
          </w:p>
        </w:tc>
        <w:tc>
          <w:tcPr>
            <w:tcW w:type="dxa" w:w="82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Description</w:t>
            </w:r>
          </w:p>
        </w:tc>
      </w:tr>
      <w:tr>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8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Certified copy of the Impugned Order in Form GST DRC-07 (and the SCN in Form GST DRC-01).</w:t>
            </w:r>
          </w:p>
        </w:tc>
      </w:tr>
      <w:tr>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8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Compliance bundle at the date of the transaction: tax invoice of M/s ABC Ltd; GSTR-2A/2B reflection of the credit; bank statement evidencing payment of value and tax through banking channels; and proof of receipt of goods (lorry receipt / delivery challan / GRN).</w:t>
            </w:r>
          </w:p>
        </w:tc>
      </w:tr>
      <w:tr>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8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Supplier return position: evidence of the Supplier’s GSTR-3B filing for the month of the purchase; portal screenshot showing the Supplier’s registration active on the transaction date.</w:t>
            </w:r>
          </w:p>
        </w:tc>
      </w:tr>
      <w:tr>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8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Pre-deposit challan evidencing payment of 10% of the disputed tax under Section 107(6).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2026-06-13T08:13:13.277Z</dcterms:created>
  <dcterms:modified xsi:type="dcterms:W3CDTF">2026-06-13T08:13:13.277Z</dcterms:modified>
</cp:coreProperties>
</file>

<file path=docProps/custom.xml><?xml version="1.0" encoding="utf-8"?>
<Properties xmlns="http://schemas.openxmlformats.org/officeDocument/2006/custom-properties" xmlns:vt="http://schemas.openxmlformats.org/officeDocument/2006/docPropsVTypes"/>
</file>