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74 issued after audit under Section 65 — the tax with interest having been paid through FORM GST DRC-03 on the audit team’s intimation, before any notice — Section 73(5) read with Section 73(6) concluding the matter, and no fraud, wilful misstatement or suppression being evidenced.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Audit period FY 2017-18 to 2019-20; DRC-03 particulars to be completed from the record.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In the Section 65 audit for FY 2017-18 to 2019-20, the audit team pointed out an input-tax-credit issue; the registered person accepted the audit’s view and paid the tax with interest through FORM GST DRC-03 before any notice — indeed before even the draft audit report. The office has nonetheless issued a notice under Section 74 proposing penalty. The notice is unsustainable on two independent footings: payment of tax with interest before notice, under Section 73(5), bars the notice itself and any penalty under Section 73(6); and Section 74 cannot be invoked at all, no fraud, wilful misstatement or suppression being evidenced — an audit-detected discrepancy, voluntarily and promptly paid, is the opposite of suppression.</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Audit under Section 65 was conducted for FY 2017-18 to 2019-20 (ADT-01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During the audit, the team intimated that credit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not admissible. The registered person accepted the position and paid the tax with interest under Section 50 through FORM GST DRC-03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 before the draft audit report, the final report, or any notice (acknowledgement enclosed).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Thereafter, a show cause notice under Section 74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issued, proposing penalty on the footing that the credit was availed wrongfully.</w:t>
      </w:r>
    </w:p>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PAYMENT BEFORE NOTICE CONCLUDES THE MATTER — SECTION 73(5)/(6)</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73(5) permits the person chargeable to pay the tax with interest, on his own ascertainment or the officer’s, before service of notice; Section 73(6) then commands that the proper officer “shall not serve any notice… in respect of the tax so paid or any penalty payable.” The entire amount with interest having been paid before notice, no notice could issue and no penalty is payable. The matter stands statutorily concluded.</w:t>
      </w:r>
    </w:p>
    <w:p>
      <w:pPr>
        <w:pStyle w:val="Heading2"/>
        <w:spacing w:after="120" w:before="200"/>
      </w:pPr>
      <w:r>
        <w:rPr>
          <w:rFonts w:ascii="Times New Roman" w:cs="Times New Roman" w:eastAsia="Times New Roman" w:hAnsi="Times New Roman"/>
          <w:b/>
          <w:bCs/>
          <w:sz w:val="24"/>
          <w:szCs w:val="24"/>
        </w:rPr>
        <w:t xml:space="preserve">SUBMISSION 2: SECTION 74 IS NOT INVOCABLE — NO EVIDENCED FRAUD OR SUPPRESSION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74 is confined to cases of fraud, wilful misstatement or suppression of facts to evade tax. CBIC Instruction No. 05/2023-GST dated 13 December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directs that Section 74(1) may be invoked only where the investigation reveals material evidence of such elements, that the evidence must be made part of the show cause notice, and that the section “cannot be invoked merely on account of non-payment of GST.” The notice here recites no such evidence. An issue surfacing in a routine audit of disclosed records, accepted and paid forthwith, evidences candour — not suppression. The Allahabad High Court in </w:t>
      </w:r>
      <w:r>
        <w:rPr>
          <w:rFonts w:ascii="Times New Roman" w:cs="Times New Roman" w:eastAsia="Times New Roman" w:hAnsi="Times New Roman"/>
          <w:i/>
          <w:iCs/>
          <w:sz w:val="24"/>
          <w:szCs w:val="24"/>
        </w:rPr>
        <w:t xml:space="preserve">Khurja Scrap Trading Co.</w:t>
      </w:r>
      <w:r>
        <w:rPr>
          <w:rFonts w:ascii="Times New Roman" w:cs="Times New Roman" w:eastAsia="Times New Roman" w:hAnsi="Times New Roman"/>
          <w:sz w:val="24"/>
          <w:szCs w:val="24"/>
        </w:rPr>
        <w:t xml:space="preserve">, 2025 (9) TMI 53, dated 29 August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the Orissa High Court in </w:t>
      </w:r>
      <w:r>
        <w:rPr>
          <w:rFonts w:ascii="Times New Roman" w:cs="Times New Roman" w:eastAsia="Times New Roman" w:hAnsi="Times New Roman"/>
          <w:i/>
          <w:iCs/>
          <w:sz w:val="24"/>
          <w:szCs w:val="24"/>
        </w:rPr>
        <w:t xml:space="preserve">Manoja Kumar Nayak</w:t>
      </w:r>
      <w:r>
        <w:rPr>
          <w:rFonts w:ascii="Times New Roman" w:cs="Times New Roman" w:eastAsia="Times New Roman" w:hAnsi="Times New Roman"/>
          <w:sz w:val="24"/>
          <w:szCs w:val="24"/>
        </w:rPr>
        <w:t xml:space="preserve">, W.P.(C) No. 12686 of 2025, dated 8 April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have deprecated precisely this mechanical invocation of Section 74 without evidenced fraud.</w:t>
      </w:r>
    </w:p>
    <w:p>
      <w:pPr>
        <w:pStyle w:val="Heading2"/>
        <w:spacing w:after="120" w:before="200"/>
      </w:pPr>
      <w:r>
        <w:rPr>
          <w:rFonts w:ascii="Times New Roman" w:cs="Times New Roman" w:eastAsia="Times New Roman" w:hAnsi="Times New Roman"/>
          <w:b/>
          <w:bCs/>
          <w:sz w:val="24"/>
          <w:szCs w:val="24"/>
        </w:rPr>
        <w:t xml:space="preserve">SUBMISSION 3: THE GOVERNING REGIME — AND, WITHOUT PREJUDICE, EVEN SECTION 74(5)</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For FY 2017-18 to 2019-20 the matter is governed by Sections 73/74 (Section 74A applies only from FY 2024-25; Section 74(12) confines Section 74 to periods up to FY 2023-24). The case being one of non-fraudulent availment, Section 73 governs, and Submission 1 concludes it. Without prejudice, even were Section 74 assumed (which is denied), the voluntary pre-notice payment places the registered person within the concluding scheme of Section 74(5)/(6), the only addition being the 15% penalty element — which cannot be levied where, as here, the jurisdictional facts of Section 74 are absent.</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under Section 74 be dropped, the tax with interest having been paid before notice (Section 73(5)/(6)) and no fraud, wilful misstatement or suppression being evidenced; that no penalty be imposed;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2026-06-13T08:15:42.166Z</dcterms:created>
  <dcterms:modified xsi:type="dcterms:W3CDTF">2026-06-13T08:15:42.166Z</dcterms:modified>
</cp:coreProperties>
</file>

<file path=docProps/custom.xml><?xml version="1.0" encoding="utf-8"?>
<Properties xmlns="http://schemas.openxmlformats.org/officeDocument/2006/custom-properties" xmlns:vt="http://schemas.openxmlformats.org/officeDocument/2006/docPropsVTypes"/>
</file>