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demanding GST on shares held by the holding company in its subsidiary — securities being neither goods nor services, and the mere holding of shares not being a supply, per Circular No. 196/08/2023-GST.</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Keep this matter cleanly distinct from corporate-guarantee valuation (Circular 204/16/2023 / Rule 28(2)), which raises different questions.</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demands GST on the value of shares held by a holding company in its subsidiary, treating the holding as a supply of service under SAC 997171. The CBIC has clarified the contrary in terms: securities — which include shares — are neither goods nor services under Sections 2(52) and 2(102); the purchase, sale or holding of securities is not, by itself, a supply; and the SAC entry cannot create a levy where there is no supply under Section 7. The demand is contrary to the Board’s binding clarification and to authority quashing identical demands.</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ABC Ltd holds shares of Rs. 100 in its subsidiary DEF Ltd. The notice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proposes GST on that holding, treating it as a supply of service by reference to SAC 997171. No service of any description is rendered by the holding company to the subsidiary in connection with the holding; no consideration flows for any such service.</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CBIC Circular No. 196/08/2023-GST dated 17 July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clarifies that securities (including shares, per Section 2(h) of the Securities Contracts (Regulation) Act, 1956) are neither goods nor services; that the purchase or sale of shares is, in itself, neither a supply of goods nor of services; and that the activity of holding shares of a subsidiary by a holding company “per se cannot be treated as a supply of services… and cannot be taxed under GST,” the SAC 997171 entry notwithstanding, unless an actual service is supplied within Section 7. The Circular binds the Department under Section 168.</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Karnataka High Court in </w:t>
      </w:r>
      <w:r>
        <w:rPr>
          <w:rFonts w:ascii="Times New Roman" w:cs="Times New Roman" w:eastAsia="Times New Roman" w:hAnsi="Times New Roman"/>
          <w:i/>
          <w:iCs/>
          <w:sz w:val="24"/>
          <w:szCs w:val="24"/>
        </w:rPr>
        <w:t xml:space="preserve">Yonex India Pvt Ltd v. Union of India</w:t>
      </w:r>
      <w:r>
        <w:rPr>
          <w:rFonts w:ascii="Times New Roman" w:cs="Times New Roman" w:eastAsia="Times New Roman" w:hAnsi="Times New Roman"/>
          <w:sz w:val="24"/>
          <w:szCs w:val="24"/>
        </w:rPr>
        <w:t xml:space="preserve">, W.P. No. 2301 of 2023 (T-RES), dated 18 January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quashed an order founded on the identical premise as illegal, arbitrary and without jurisdiction, following the Central and the corresponding State circulars. The present demand stands on no different footing.</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No recharacterisation is available: the holding company renders no management, support or other service to the subsidiary referable to the holding, and receives no consideration for any. (The distinct question of corporate guarantees — Circular 204/16/2023 and Rule 28(2) — does not arise on these facts and is not the subject of the notice.)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holding of shares in the subsidiary being neither a supply of goods nor of services per Circular No. 196/08/2023-GST, binding on the Department;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2026-06-13T08:15:42.268Z</dcterms:created>
  <dcterms:modified xsi:type="dcterms:W3CDTF">2026-06-13T08:15:42.268Z</dcterms:modified>
</cp:coreProperties>
</file>

<file path=docProps/custom.xml><?xml version="1.0" encoding="utf-8"?>
<Properties xmlns="http://schemas.openxmlformats.org/officeDocument/2006/custom-properties" xmlns:vt="http://schemas.openxmlformats.org/officeDocument/2006/docPropsVTypes"/>
</file>