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proposing a general penalty under Section 125 for alleged non-maintenance of accounts / stock register — the contravention, if any, being specifically covered by Section 122(1)(xvi), so that the residuary Section 125 is not attracted.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The records (books, stock statements, returns) must be enclosed to rebut the factual premise; the legal point (specific vs residuary penalty) stands independently.</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a general penalty of Rs. 25,000 each under the CGST and SGST Acts under Section 125, alleging non-maintenance of proper accounts / stock register. The proposal is misconceived in law. Section 125 is a residuary provision — it applies only to a contravention “for which no penalty is separately provided.” The failure to keep, maintain or retain books of account and records is specifically penalised by Section 122(1)(xvi); the residuary section is therefore ousted. In any event, the records are maintained, as the enclosures show, and any lapse is technical, attracting at most a commensurate penalty.</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alleges that the registered person has not maintained proper accounts / a stock register as required by Section 35 read with Rule 56, and proposes penalty under Section 125.</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maintains its books of account, stock records and supporting documents in the ordinary course; the relevant statements and returns are enclosed. No tax has been evaded, and no specific quantum of evaded tax is alleged.</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Section 125 is residuary and is ousted by the specific provision. </w:t>
      </w:r>
      <w:r>
        <w:rPr>
          <w:rFonts w:ascii="Times New Roman" w:cs="Times New Roman" w:eastAsia="Times New Roman" w:hAnsi="Times New Roman"/>
          <w:sz w:val="24"/>
          <w:szCs w:val="24"/>
        </w:rPr>
        <w:t xml:space="preserve">Section 125 imposes a general penalty “for any contravention… for which no penalty is separately provided for in this Act.” The failure to keep, maintain or retain books of account and other documents is the precise subject of Section 122(1)(xvi). Where a specific penalty provision governs, the residuary provision cannot be invoked. The Madras High Court has so held in </w:t>
      </w:r>
      <w:r>
        <w:rPr>
          <w:rFonts w:ascii="Times New Roman" w:cs="Times New Roman" w:eastAsia="Times New Roman" w:hAnsi="Times New Roman"/>
          <w:i/>
          <w:iCs/>
          <w:sz w:val="24"/>
          <w:szCs w:val="24"/>
        </w:rPr>
        <w:t xml:space="preserve">Tvl. RPG Traders v. State Tax Officer</w:t>
      </w:r>
      <w:r>
        <w:rPr>
          <w:rFonts w:ascii="Times New Roman" w:cs="Times New Roman" w:eastAsia="Times New Roman" w:hAnsi="Times New Roman"/>
          <w:sz w:val="24"/>
          <w:szCs w:val="24"/>
        </w:rPr>
        <w:t xml:space="preserve">, [2026] 182 taxmann.com 321, dated 12 December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following the Division Bench in </w:t>
      </w:r>
      <w:r>
        <w:rPr>
          <w:rFonts w:ascii="Times New Roman" w:cs="Times New Roman" w:eastAsia="Times New Roman" w:hAnsi="Times New Roman"/>
          <w:i/>
          <w:iCs/>
          <w:sz w:val="24"/>
          <w:szCs w:val="24"/>
        </w:rPr>
        <w:t xml:space="preserve">Kandan Hardware Mart v. Assistant Commissioner (ST)</w:t>
      </w:r>
      <w:r>
        <w:rPr>
          <w:rFonts w:ascii="Times New Roman" w:cs="Times New Roman" w:eastAsia="Times New Roman" w:hAnsi="Times New Roman"/>
          <w:sz w:val="24"/>
          <w:szCs w:val="24"/>
        </w:rPr>
        <w:t xml:space="preserve">, W.P. No. 27029 of 2023, dated 2 January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Tvl. Jainsons Castors &amp; Industrial Products v. Assistant Commissioner (ST)</w:t>
      </w:r>
      <w:r>
        <w:rPr>
          <w:rFonts w:ascii="Times New Roman" w:cs="Times New Roman" w:eastAsia="Times New Roman" w:hAnsi="Times New Roman"/>
          <w:sz w:val="24"/>
          <w:szCs w:val="24"/>
        </w:rPr>
        <w:t xml:space="preserve">, W.P. No. 36614 of 2024, dated 4 February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 each holding that Section 125 is attracted only where no separate penalty is leviable.</w:t>
      </w:r>
    </w:p>
    <w:p>
      <w:pPr>
        <w:spacing w:after="140" w:line="276"/>
        <w:ind w:left="720"/>
        <w:jc w:val="both"/>
      </w:pPr>
      <w:r>
        <w:rPr>
          <w:rFonts w:ascii="Times New Roman" w:cs="Times New Roman" w:eastAsia="Times New Roman" w:hAnsi="Times New Roman"/>
          <w:b/>
          <w:bCs/>
          <w:i/>
          <w:iCs/>
          <w:sz w:val="24"/>
          <w:szCs w:val="24"/>
        </w:rPr>
        <w:t xml:space="preserve">(b) The correct measure under Section 122(1)(xvi). </w:t>
      </w:r>
      <w:r>
        <w:rPr>
          <w:rFonts w:ascii="Times New Roman" w:cs="Times New Roman" w:eastAsia="Times New Roman" w:hAnsi="Times New Roman"/>
          <w:sz w:val="24"/>
          <w:szCs w:val="24"/>
        </w:rPr>
        <w:t xml:space="preserve">Even if a maintenance lapse were established (which is denied), the penalty under Section 122(1)(xvi) is Rs. 10,000 or the amount of tax evaded, whichever is higher. No tax evasion being alleged or quantified, the measure cannot exceed Rs. 10,000 — and certainly not Rs. 50,000 under a section that does not apply. In </w:t>
      </w:r>
      <w:r>
        <w:rPr>
          <w:rFonts w:ascii="Times New Roman" w:cs="Times New Roman" w:eastAsia="Times New Roman" w:hAnsi="Times New Roman"/>
          <w:i/>
          <w:iCs/>
          <w:sz w:val="24"/>
          <w:szCs w:val="24"/>
        </w:rPr>
        <w:t xml:space="preserve">Rathore Building Material v. Commissioner of State Tax</w:t>
      </w:r>
      <w:r>
        <w:rPr>
          <w:rFonts w:ascii="Times New Roman" w:cs="Times New Roman" w:eastAsia="Times New Roman" w:hAnsi="Times New Roman"/>
          <w:sz w:val="24"/>
          <w:szCs w:val="24"/>
        </w:rPr>
        <w:t xml:space="preserve">, 2023 (12) TMI 555, dated 1 December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 Section 125 penalty was set aside where the default was otherwise addressed.</w:t>
      </w:r>
    </w:p>
    <w:p>
      <w:pPr>
        <w:spacing w:after="140" w:line="276"/>
        <w:ind w:left="720"/>
        <w:jc w:val="both"/>
      </w:pPr>
      <w:r>
        <w:rPr>
          <w:rFonts w:ascii="Times New Roman" w:cs="Times New Roman" w:eastAsia="Times New Roman" w:hAnsi="Times New Roman"/>
          <w:b/>
          <w:bCs/>
          <w:i/>
          <w:iCs/>
          <w:sz w:val="24"/>
          <w:szCs w:val="24"/>
        </w:rPr>
        <w:t xml:space="preserve">(c) Proportionality. </w:t>
      </w:r>
      <w:r>
        <w:rPr>
          <w:rFonts w:ascii="Times New Roman" w:cs="Times New Roman" w:eastAsia="Times New Roman" w:hAnsi="Times New Roman"/>
          <w:sz w:val="24"/>
          <w:szCs w:val="24"/>
        </w:rPr>
        <w:t xml:space="preserve">Section 126(2) requires that any penalty be commensurate with the degree and severity of the breach. A bare allegation of inadequate records, without any finding of evasion, cannot attract the maximum general penalty under each Act.</w:t>
      </w:r>
    </w:p>
    <w:p>
      <w:pPr>
        <w:spacing w:after="140" w:line="276"/>
        <w:ind w:left="720"/>
        <w:jc w:val="both"/>
      </w:pPr>
      <w:r>
        <w:rPr>
          <w:rFonts w:ascii="Times New Roman" w:cs="Times New Roman" w:eastAsia="Times New Roman" w:hAnsi="Times New Roman"/>
          <w:b/>
          <w:bCs/>
          <w:i/>
          <w:iCs/>
          <w:sz w:val="24"/>
          <w:szCs w:val="24"/>
        </w:rPr>
        <w:t xml:space="preserve">(d) Fair disclosure. </w:t>
      </w:r>
      <w:r>
        <w:rPr>
          <w:rFonts w:ascii="Times New Roman" w:cs="Times New Roman" w:eastAsia="Times New Roman" w:hAnsi="Times New Roman"/>
          <w:i/>
          <w:iCs/>
          <w:sz w:val="24"/>
          <w:szCs w:val="24"/>
        </w:rPr>
        <w:t xml:space="preserve">It is noted, for completeness, that a contrary view exists </w:t>
      </w:r>
      <w:r>
        <w:rPr>
          <w:rFonts w:ascii="Times New Roman" w:cs="Times New Roman" w:eastAsia="Times New Roman" w:hAnsi="Times New Roman"/>
          <w:i/>
          <w:iCs/>
          <w:sz w:val="24"/>
          <w:szCs w:val="24"/>
        </w:rPr>
        <w:t xml:space="preserve">(Suvarna Fibrotech Pvt Ltd, Madras High Court)</w:t>
      </w:r>
      <w:r>
        <w:rPr>
          <w:rFonts w:ascii="Times New Roman" w:cs="Times New Roman" w:eastAsia="Times New Roman" w:hAnsi="Times New Roman"/>
          <w:i/>
          <w:iCs/>
          <w:sz w:val="24"/>
          <w:szCs w:val="24"/>
        </w:rPr>
        <w:t xml:space="preserve">, where Section 125 was sustained on the footing that the defects were general statutory non-compliances for which no specific penalty applied. That reasoning does not assist here: non-maintenance of books and the stock register is squarely and specifically covered by Section 122(1)(xvi), taking the case outside the residuary section altogether.</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proposal to levy penalty under Section 125 be dropped, the contravention alleged being specifically covered by Section 122(1)(xvi) so that the residuary section is not attracted, and the records in any event being maintained;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2026-06-13T08:13:11.876Z</dcterms:created>
  <dcterms:modified xsi:type="dcterms:W3CDTF">2026-06-13T08:13:11.876Z</dcterms:modified>
</cp:coreProperties>
</file>

<file path=docProps/custom.xml><?xml version="1.0" encoding="utf-8"?>
<Properties xmlns="http://schemas.openxmlformats.org/officeDocument/2006/custom-properties" xmlns:vt="http://schemas.openxmlformats.org/officeDocument/2006/docPropsVTypes"/>
</file>