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Intimation of filing of the first appeal under Section 107 with the pre-deposit — recovery of the balance being deemed stayed under Section 107(7) — and request that no coercive recovery be effected.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Letter to the proper officer / recovery officer. Party: M/s Noticedesk Technologies Private Limited; place of execution Mumbai. Enclose APL-01, the provisional acknowledgment, the pre-deposit challan and (if issued) APL-02.</w:t>
      </w:r>
    </w:p>
    <w:p>
      <w:pPr>
        <w:pStyle w:val="Heading1"/>
        <w:spacing w:after="140" w:before="280"/>
      </w:pPr>
      <w:r>
        <w:rPr>
          <w:rFonts w:ascii="Times New Roman" w:cs="Times New Roman" w:eastAsia="Times New Roman" w:hAnsi="Times New Roman"/>
          <w:b/>
          <w:bCs/>
          <w:sz w:val="26"/>
          <w:szCs w:val="26"/>
        </w:rPr>
        <w:t xml:space="preserve">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 demand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(tax, interest and penalty) was confirmed against the registered person.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Aggrieved, the registered person filed an appeal under Section 107 in FORM GST APL-01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(provisional acknowledgment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paid the pre-deposit of ten per cent of the tax in dispute under Section 107(6) (challan enclosed). The final acknowledgment in FORM GST APL-02 [has been issued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 [is awaited].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107(6) requires, as a condition of appeal, payment of the admitted amount in full and ten per cent of the remaining tax in dispute (subject to the ceiling, now twenty crore rupees under the CGST Act following the Finance (No. 2) Act, 2024; and twenty-five per cent of the penalty — reduced to ten per cent by the Finance Act, 2025 — for an order under Section 129(3)). The registered person having made the pre-deposit, Section 107(7) operates: “the recovery proceedings for the balance amount shall be deemed to be stayed.” The stay operates by force of statute on the filing of the appeal with the pre-deposit, and does not await the issuance of FORM GST APL-02.</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Recovery is, in any event, premature. Section 78 permits recovery only after three months from service of the order, save where the proper officer, for reasons to be recorded in writing, considers it expedient in the interest of revenue to require payment earlier. CBIC Instruction No. 01/2024-GST dated 30 May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reiterates that recovery before the three-month period is to be resorted to only in exceptional cases with the reasons recorded by the Principal Commissioner / Commissioner. The CBIC’s own Frequently Asked Questions (3rd edition, 15 December 2018)</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confirm that once the pre-deposit is made, recovery of the balance is stayed.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That the deemed stay is to be given effect, and any attachment lifted, is settled: </w:t>
      </w:r>
      <w:r>
        <w:rPr>
          <w:rFonts w:ascii="Times New Roman" w:cs="Times New Roman" w:eastAsia="Times New Roman" w:hAnsi="Times New Roman"/>
          <w:i/>
          <w:iCs/>
          <w:sz w:val="24"/>
          <w:szCs w:val="24"/>
        </w:rPr>
        <w:t xml:space="preserve">Sterlite Power Transmission Ltd v. Union of India</w:t>
      </w:r>
      <w:r>
        <w:rPr>
          <w:rFonts w:ascii="Times New Roman" w:cs="Times New Roman" w:eastAsia="Times New Roman" w:hAnsi="Times New Roman"/>
          <w:sz w:val="24"/>
          <w:szCs w:val="24"/>
        </w:rPr>
        <w:t xml:space="preserve">, Delhi High Court, W.P.(C) 2966/2024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held that once the appeal is filed with the prescribed pre-deposit, recovery is stayed by operation of law and a provisional attachment cannot continue; the attachment was set aside and the bank accounts released.</w:t>
      </w:r>
    </w:p>
    <w:p>
      <w:pPr>
        <w:pStyle w:val="Heading1"/>
        <w:spacing w:after="140" w:before="280"/>
      </w:pPr>
      <w:r>
        <w:rPr>
          <w:rFonts w:ascii="Times New Roman" w:cs="Times New Roman" w:eastAsia="Times New Roman" w:hAnsi="Times New Roman"/>
          <w:b/>
          <w:bCs/>
          <w:sz w:val="26"/>
          <w:szCs w:val="26"/>
        </w:rPr>
        <w:t xml:space="preserve">REQUEST</w:t>
      </w:r>
    </w:p>
    <w:p>
      <w:pPr>
        <w:spacing w:after="160" w:line="276"/>
        <w:jc w:val="both"/>
      </w:pPr>
      <w:r>
        <w:rPr>
          <w:rFonts w:ascii="Times New Roman" w:cs="Times New Roman" w:eastAsia="Times New Roman" w:hAnsi="Times New Roman"/>
          <w:sz w:val="24"/>
          <w:szCs w:val="24"/>
        </w:rPr>
        <w:t xml:space="preserve">It is requested that the deemed stay under Section 107(7) be given effect; that no coercive recovery (including attachment of bank accounts or debtors) be effected in respect of the balance pending the appeal; and that any recovery already made, or any attachment subsisting, be reversed / lifted forthwith. A short acknowledgment of this intimation is requested.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2026-06-13T08:13:12.033Z</dcterms:created>
  <dcterms:modified xsi:type="dcterms:W3CDTF">2026-06-13T08:13:12.033Z</dcterms:modified>
</cp:coreProperties>
</file>

<file path=docProps/custom.xml><?xml version="1.0" encoding="utf-8"?>
<Properties xmlns="http://schemas.openxmlformats.org/officeDocument/2006/custom-properties" xmlns:vt="http://schemas.openxmlformats.org/officeDocument/2006/docPropsVTypes"/>
</file>