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on the difference in taxable turnover reported in Form GSTR-1 and Form GSTR-3B for the period July 2017 to February 2020, the difference arising from a bona fide clerical error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Notice”).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Authorities are marked [VERIFY] for a final check before filing. The period (July 2017 to February 2020), the nature of the difference (a clerical keying error — Rs. 20,000 entered as Rs. 2,00,000), and the absence of a GSTR-3B revision facility are reproduced from the source. See Flag on signatory: the source describes a proprietorship (Proprietor Mr. ABC); the party name and execution are stated as Noticedesk Technologies Private Limited per the production standard — confirm at review.</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calls upon the Company to explain a difference between the taxable turnover reported in Form GSTR-1 and that in Form GSTR-3B for the period July 2017 to February 2020. The difference arises from a bona fide clerical error — a figure of Rs. 20,000 was inadvertently keyed as Rs. 2,00,000 — compounded by the absence of any facility to revise Form GSTR-3B once filed. There is no short payment of tax and no intent to evade; the correct turnover is borne out by the books and invoices. A reconciliation explaining the difference is furnished. No demand, interest or penalty arises from a clerical mismatch that is revenue-neutral on the correct figures.</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notice. </w:t>
      </w:r>
      <w:r>
        <w:rPr>
          <w:rFonts w:ascii="Times New Roman" w:cs="Times New Roman" w:eastAsia="Times New Roman" w:hAnsi="Times New Roman"/>
          <w:b w:val="false"/>
          <w:bCs w:val="false"/>
          <w:i w:val="false"/>
          <w:iCs w:val="false"/>
          <w:caps w:val="false"/>
          <w:sz w:val="24"/>
          <w:szCs w:val="24"/>
        </w:rPr>
        <w:t xml:space="preserve">The Department, by the Impugned Notice, pointed to a difference in the taxable turnover reported in GSTR-1 and GSTR-3B for July 2017 to February 2020 and sought an explanation.</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cause of the difference. </w:t>
      </w:r>
      <w:r>
        <w:rPr>
          <w:rFonts w:ascii="Times New Roman" w:cs="Times New Roman" w:eastAsia="Times New Roman" w:hAnsi="Times New Roman"/>
          <w:b w:val="false"/>
          <w:bCs w:val="false"/>
          <w:i w:val="false"/>
          <w:iCs w:val="false"/>
          <w:caps w:val="false"/>
          <w:sz w:val="24"/>
          <w:szCs w:val="24"/>
        </w:rPr>
        <w:t xml:space="preserve">The difference is due to a clerical / keying error (and a network issue at the time of filing): a supply of Rs. 20,000 was entered as Rs. 2,00,000. As Form GSTR-3B has no revision facility, the error could not be corrected in the return itself. The correct turnover is reflected in the Company’s books and invoices.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Reconciliation. </w:t>
      </w:r>
      <w:r>
        <w:rPr>
          <w:rFonts w:ascii="Times New Roman" w:cs="Times New Roman" w:eastAsia="Times New Roman" w:hAnsi="Times New Roman"/>
          <w:b w:val="false"/>
          <w:bCs w:val="false"/>
          <w:i w:val="false"/>
          <w:iCs w:val="false"/>
          <w:caps w:val="false"/>
          <w:sz w:val="24"/>
          <w:szCs w:val="24"/>
        </w:rPr>
        <w:t xml:space="preserve">A period-wise reconciliation of GSTR-1 and GSTR-3B, explaining each difference and tying it to the books, is at Annexure 1.</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difference is a bona fide clerical error, reconciled to the books; there is no short payment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 difference between GSTR-1 and GSTR-3B is, by itself, only a trigger for reconciliation, not proof of suppression or short payment. Here the difference is a clerical keying error, reconciled in Annexure 1 to the Company’s books and invoices, which reflect the correct turnover. On the correct figures there is no short payment of tax. A mechanical demand raised on the arithmetical difference, without regard to the explanation and the books, cannot be sustained.</w:t>
      </w:r>
    </w:p>
    <w:p>
      <w:pPr>
        <w:pStyle w:val="Heading2"/>
        <w:spacing w:after="140" w:before="200"/>
      </w:pPr>
      <w:r>
        <w:rPr>
          <w:rFonts w:ascii="Times New Roman" w:cs="Times New Roman" w:eastAsia="Times New Roman" w:hAnsi="Times New Roman"/>
          <w:b/>
          <w:bCs/>
          <w:sz w:val="24"/>
          <w:szCs w:val="24"/>
        </w:rPr>
        <w:t xml:space="preserve">Ground 2: No penalty for a clerical / rectifiable error — Section 126</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126 of the Act provides that no penalty shall be imposed for minor breaches or for errors apparent on record and easily rectifiable, and that penalty must be commensurate with the breach. A clerical keying error, made without intent to evade and reconciled to the books, is precisely such a minor, rectifiable breach. No penalty is exigible.</w:t>
      </w:r>
    </w:p>
    <w:p>
      <w:pPr>
        <w:pStyle w:val="Heading2"/>
        <w:spacing w:after="140" w:before="200"/>
      </w:pPr>
      <w:r>
        <w:rPr>
          <w:rFonts w:ascii="Times New Roman" w:cs="Times New Roman" w:eastAsia="Times New Roman" w:hAnsi="Times New Roman"/>
          <w:b/>
          <w:bCs/>
          <w:sz w:val="24"/>
          <w:szCs w:val="24"/>
        </w:rPr>
        <w:t xml:space="preserve">Ground 3: Absence of a GSTR-3B revision facility cannot prejudice the Company; bona fide errors are correctable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could not revise GSTR-3B because the return carries no revision facility — a limitation of the system, not a default of the Company. Courts have recognised that bona fide and inadvertent errors in GST returns ought to be permitted to be corrected, the object being to reflect the correct position rather than to penalise a slip. [VERIFY for jurisdictional High Court authority] The correct position, as reconciled, ought to be accepted.</w:t>
      </w:r>
    </w:p>
    <w:p>
      <w:pPr>
        <w:pStyle w:val="Heading2"/>
        <w:spacing w:after="140" w:before="200"/>
      </w:pPr>
      <w:r>
        <w:rPr>
          <w:rFonts w:ascii="Times New Roman" w:cs="Times New Roman" w:eastAsia="Times New Roman" w:hAnsi="Times New Roman"/>
          <w:b/>
          <w:bCs/>
          <w:sz w:val="24"/>
          <w:szCs w:val="24"/>
        </w:rPr>
        <w:t xml:space="preserve">Ground 4 (without prejudice): Interest, if any, only on a genuine short payment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interest under Section 50 can attach only to an actual short payment of tax; where the mismatch is a clerical error and the correct tax stands paid, no interest arises. If any genuine short payment is identified on the reconciliation, the Company will discharge it with interest on the net basis.</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ACCEPT the reconciliation at Annexure 1 and HOLD that the GSTR-1 / GSTR-3B difference is a bona fide clerical error with no short payment of tax;</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penalty is exigible for a minor / rectifiable error under Section 126;</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proposed demand, interest and penalty; and, if any genuine short payment is found, confine it to that amount with interest on the net basis;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37, 39, 50, 126 of the CGST Act, 2017; Rule 59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High Court authority permitting rectification of bona fide / inadvertent, revenue-neutral errors in GST returns — to be cited from the jurisdictional High Court and reporter-verified.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Period-wise reconciliation of GSTR-1 and GSTR-3B with the books and invoices, explaining each difference.</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Notice.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2026-06-13T08:26:21.557Z</dcterms:created>
  <dcterms:modified xsi:type="dcterms:W3CDTF">2026-06-13T08:26:21.557Z</dcterms:modified>
</cp:coreProperties>
</file>

<file path=docProps/custom.xml><?xml version="1.0" encoding="utf-8"?>
<Properties xmlns="http://schemas.openxmlformats.org/officeDocument/2006/custom-properties" xmlns:vt="http://schemas.openxmlformats.org/officeDocument/2006/docPropsVTypes"/>
</file>