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i w:val="0"/>
          <w:sz w:val="24"/>
        </w:rPr>
        <w:t>To,</w:t>
      </w:r>
    </w:p>
    <w:p>
      <w:pPr>
        <w:jc w:val="left"/>
      </w:pPr>
      <w:r>
        <w:rPr>
          <w:rFonts w:ascii="Times New Roman" w:hAnsi="Times New Roman"/>
          <w:b w:val="0"/>
          <w:i w:val="0"/>
          <w:sz w:val="24"/>
        </w:rPr>
        <w:t>The Proper Officer (State Tax) / [Designation]</w:t>
      </w:r>
    </w:p>
    <w:p>
      <w:pPr>
        <w:jc w:val="left"/>
      </w:pPr>
      <w:r>
        <w:rPr>
          <w:rFonts w:ascii="Times New Roman" w:hAnsi="Times New Roman"/>
          <w:b w:val="0"/>
          <w:i w:val="0"/>
          <w:sz w:val="24"/>
        </w:rPr>
        <w:t>[Ward / Circle / Jurisdiction]</w:t>
      </w:r>
    </w:p>
    <w:p>
      <w:pPr>
        <w:jc w:val="left"/>
      </w:pPr>
      <w:r>
        <w:rPr>
          <w:rFonts w:ascii="Times New Roman" w:hAnsi="Times New Roman"/>
          <w:b w:val="0"/>
          <w:i w:val="0"/>
          <w:sz w:val="24"/>
        </w:rPr>
        <w:t>[Office Address]</w:t>
      </w:r>
    </w:p>
    <w:p>
      <w:pPr>
        <w:jc w:val="left"/>
      </w:pPr>
      <w:r>
        <w:rPr>
          <w:rFonts w:ascii="Times New Roman" w:hAnsi="Times New Roman"/>
          <w:b w:val="0"/>
          <w:i w:val="0"/>
          <w:sz w:val="24"/>
        </w:rPr>
      </w:r>
    </w:p>
    <w:p>
      <w:pPr>
        <w:jc w:val="left"/>
      </w:pPr>
      <w:r>
        <w:rPr>
          <w:rFonts w:ascii="Times New Roman" w:hAnsi="Times New Roman"/>
          <w:b w:val="0"/>
          <w:i w:val="0"/>
          <w:sz w:val="24"/>
        </w:rPr>
        <w:t>Subject: Submission that payment of the tax component through the Electronic Credit Ledger does not disentitle the registered person from waiver under Section 128A</w:t>
      </w:r>
    </w:p>
    <w:p>
      <w:pPr>
        <w:jc w:val="left"/>
      </w:pPr>
      <w:r>
        <w:rPr>
          <w:rFonts w:ascii="Times New Roman" w:hAnsi="Times New Roman"/>
          <w:b w:val="0"/>
          <w:i/>
          <w:sz w:val="24"/>
        </w:rPr>
        <w:t>Drafting note (to be removed before filing): Place of execution Mumbai; confirm whether the objection raised is that the entire payment was through the credit ledger or only a part; annex the DRC-03/ledger debit entries before filing.</w:t>
      </w:r>
    </w:p>
    <w:p>
      <w:pPr>
        <w:jc w:val="left"/>
      </w:pPr>
      <w:r>
        <w:rPr>
          <w:rFonts w:ascii="Times New Roman" w:hAnsi="Times New Roman"/>
          <w:b/>
          <w:i w:val="0"/>
          <w:sz w:val="24"/>
        </w:rPr>
        <w:t>SYNOPSIS</w:t>
      </w:r>
    </w:p>
    <w:p>
      <w:pPr>
        <w:jc w:val="both"/>
      </w:pPr>
      <w:r>
        <w:rPr>
          <w:rFonts w:ascii="Times New Roman" w:hAnsi="Times New Roman"/>
          <w:b w:val="0"/>
          <w:i w:val="0"/>
          <w:sz w:val="24"/>
        </w:rPr>
        <w:t>An objection has been raised that the tax component of the demand, having been discharged in part through debit of the Electronic Credit Ledger rather than the Electronic Cash Ledger, does not qualify for waiver of interest and penalty under Section 128A.</w:t>
      </w:r>
    </w:p>
    <w:p>
      <w:pPr>
        <w:jc w:val="left"/>
      </w:pPr>
      <w:r>
        <w:rPr>
          <w:rFonts w:ascii="Times New Roman" w:hAnsi="Times New Roman"/>
          <w:b/>
          <w:i w:val="0"/>
          <w:sz w:val="24"/>
        </w:rPr>
        <w:t>FACTUAL BACKGROUND</w:t>
      </w:r>
    </w:p>
    <w:p>
      <w:pPr>
        <w:jc w:val="both"/>
      </w:pPr>
      <w:r>
        <w:rPr>
          <w:rFonts w:ascii="Times New Roman" w:hAnsi="Times New Roman"/>
          <w:b w:val="0"/>
          <w:i w:val="0"/>
          <w:sz w:val="24"/>
        </w:rPr>
        <w:t>The demand under Section 73 for the eligible period was discharged, the tax component having been paid partly by debit of the Electronic Credit Ledger and partly through the Electronic Cash Ledger, in FORM GST DRC-03.</w:t>
      </w:r>
    </w:p>
    <w:p>
      <w:pPr>
        <w:jc w:val="both"/>
      </w:pPr>
      <w:r>
        <w:rPr>
          <w:rFonts w:ascii="Times New Roman" w:hAnsi="Times New Roman"/>
          <w:b w:val="0"/>
          <w:i w:val="0"/>
          <w:sz w:val="24"/>
        </w:rPr>
        <w:t>The waiver application under Section 128A / FORM GST SPL-02 has been objected to on the ground that payment through the credit ledger does not amount to 'payment of tax' for the purposes of the waiver scheme.</w:t>
      </w:r>
    </w:p>
    <w:p>
      <w:pPr>
        <w:jc w:val="left"/>
      </w:pPr>
      <w:r>
        <w:rPr>
          <w:rFonts w:ascii="Times New Roman" w:hAnsi="Times New Roman"/>
          <w:b/>
          <w:i w:val="0"/>
          <w:sz w:val="24"/>
        </w:rPr>
        <w:t>SUBMISSIONS</w:t>
      </w:r>
    </w:p>
    <w:p>
      <w:pPr>
        <w:ind w:left="360"/>
        <w:jc w:val="both"/>
      </w:pPr>
      <w:r>
        <w:rPr>
          <w:rFonts w:ascii="Times New Roman" w:hAnsi="Times New Roman"/>
          <w:b w:val="0"/>
          <w:i w:val="0"/>
          <w:sz w:val="24"/>
        </w:rPr>
        <w:t>1. Section 49(4) permits the Electronic Credit Ledger to be utilised towards payment of output tax; the tax component of a demand confirmed under Section 73 is 'output tax' payable by the registered person and is not excluded from the categories of payment for which the credit ledger may be used.</w:t>
      </w:r>
    </w:p>
    <w:p>
      <w:pPr>
        <w:ind w:left="360"/>
        <w:jc w:val="both"/>
      </w:pPr>
      <w:r>
        <w:rPr>
          <w:rFonts w:ascii="Times New Roman" w:hAnsi="Times New Roman"/>
          <w:b w:val="0"/>
          <w:i w:val="0"/>
          <w:sz w:val="24"/>
        </w:rPr>
        <w:t>2. Rule 164 nowhere restricts the mode of payment of the tax component to the cash ledger alone for the purposes of Section 128A; the sole condition is that the 'full amount of tax payable' stands paid, without prescribing the ledger from which it is drawn.</w:t>
      </w:r>
    </w:p>
    <w:p>
      <w:pPr>
        <w:ind w:left="360"/>
        <w:jc w:val="both"/>
      </w:pPr>
      <w:r>
        <w:rPr>
          <w:rFonts w:ascii="Times New Roman" w:hAnsi="Times New Roman"/>
          <w:b w:val="0"/>
          <w:i w:val="0"/>
          <w:sz w:val="24"/>
        </w:rPr>
        <w:t>3. Payment through the credit ledger being a valid mode of discharge of output tax liability generally, there is no basis to read into Section 128A / Rule 164 a cash-only requirement that the statute and rules do not themselves impose.</w:t>
      </w:r>
    </w:p>
    <w:p>
      <w:pPr>
        <w:jc w:val="left"/>
      </w:pPr>
      <w:r>
        <w:rPr>
          <w:rFonts w:ascii="Times New Roman" w:hAnsi="Times New Roman"/>
          <w:b/>
          <w:i w:val="0"/>
          <w:sz w:val="24"/>
        </w:rPr>
        <w:t>PRAYER</w:t>
      </w:r>
    </w:p>
    <w:p>
      <w:pPr>
        <w:jc w:val="both"/>
      </w:pPr>
      <w:r>
        <w:rPr>
          <w:rFonts w:ascii="Times New Roman" w:hAnsi="Times New Roman"/>
          <w:b w:val="0"/>
          <w:i w:val="0"/>
          <w:sz w:val="24"/>
        </w:rPr>
        <w:t>It is prayed that the payment made through the Electronic Credit Ledger be accepted as valid discharge of the tax component for the purposes of Section 128A, and the waiver application be processed on that basis.</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For and on behalf of</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Authorised Signatory / Director</w:t>
      </w:r>
    </w:p>
    <w:p>
      <w:pPr>
        <w:jc w:val="left"/>
      </w:pPr>
      <w:r>
        <w:rPr>
          <w:rFonts w:ascii="Times New Roman" w:hAnsi="Times New Roman"/>
          <w:b w:val="0"/>
          <w:i w:val="0"/>
          <w:sz w:val="24"/>
        </w:rPr>
        <w:t>Place: Mumbai</w:t>
      </w:r>
    </w:p>
    <w:p>
      <w:pPr>
        <w:jc w:val="left"/>
      </w:pPr>
      <w:r>
        <w:rPr>
          <w:rFonts w:ascii="Times New Roman" w:hAnsi="Times New Roman"/>
          <w:b w:val="0"/>
          <w:i w:val="0"/>
          <w:sz w:val="24"/>
        </w:rPr>
        <w:t>Date: [____]</w:t>
      </w:r>
    </w:p>
    <w:p>
      <w:pPr>
        <w:jc w:val="left"/>
      </w:pPr>
      <w:r>
        <w:rPr>
          <w:rFonts w:ascii="Times New Roman" w:hAnsi="Times New Roman"/>
          <w:b w:val="0"/>
          <w:i w:val="0"/>
          <w:sz w:val="24"/>
        </w:rPr>
        <w:t>Filed through [____], Authorised Representative.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