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demanding GST on the personal guarantee given by a director for the company’s bank loan — the open market value being nil under Circular No. 204/16/2023-GST, and Rule 28(2) (the 1% rule for corporate guarantees) having no application to a director’s personal guarantee.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Key point: distinguish a director's PERSONAL guarantee (Rule 28(1); OMV nil per Circular 204) from a corporate guarantee (Rule 28(2); 1%). Enclose the bank's sanction terms / undertaking showing no consideration to the director.</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demands GST at one per cent of the value of a personal guarantee given by a director to the bank for the company’s credit facility, invoking Rule 28(2). The demand is misconceived on two counts. First, a director’s personal guarantee is valued under Rule 28(1) (open market value), not Rule 28(2), which is the one-per-cent deeming rule for corporate guarantees by a related person on behalf of another. Second, the open market value of such a personal guarantee is nil: the RBI bars any consideration to the director, so the CBIC has clarified that the taxable value is zero and no GST is payable. The notice should be dropped.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company availed a credit facility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from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Bank. Its director, Mr.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gave a personal guarantee for that facility, as required by the bank under the RBI’s guidelines. No consideration — commission, brokerage, fee or otherwise — was paid or payable to the director for the guarantee.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notice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proposes GST at one per cent of the guaranteed amount per annum under Rule 28(2), treating the personal guarantee as if it were a corporate guarantee.</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Rule 28(2) does not apply to a personal guarantee. </w:t>
      </w:r>
      <w:r>
        <w:rPr>
          <w:rFonts w:ascii="Times New Roman" w:cs="Times New Roman" w:eastAsia="Times New Roman" w:hAnsi="Times New Roman"/>
          <w:sz w:val="24"/>
          <w:szCs w:val="24"/>
        </w:rPr>
        <w:t xml:space="preserve">Rule 28(2) (inserted by Notification No. 52/2023-Central Tax dated 26 October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prescribes a deemed value of one per cent per annum only for the supply of services “by way of providing corporate guarantee… on behalf of” a related recipient — that is, a guarantee by one body corporate for another. A director’s personal guarantee is not a corporate guarantee; its value falls to be determined under Rule 28(1) (open market value), as the CBIC itself treats it. The invocation of Rule 28(2)’s one-per-cent measure against a director’s personal guarantee is therefore without legal basis.</w:t>
      </w:r>
    </w:p>
    <w:p>
      <w:pPr>
        <w:spacing w:after="140" w:line="276"/>
        <w:ind w:left="720"/>
        <w:jc w:val="both"/>
      </w:pPr>
      <w:r>
        <w:rPr>
          <w:rFonts w:ascii="Times New Roman" w:cs="Times New Roman" w:eastAsia="Times New Roman" w:hAnsi="Times New Roman"/>
          <w:b/>
          <w:bCs/>
          <w:i/>
          <w:iCs/>
          <w:sz w:val="24"/>
          <w:szCs w:val="24"/>
        </w:rPr>
        <w:t xml:space="preserve">(b) The open market value is nil — Circular 204/16/2023. </w:t>
      </w:r>
      <w:r>
        <w:rPr>
          <w:rFonts w:ascii="Times New Roman" w:cs="Times New Roman" w:eastAsia="Times New Roman" w:hAnsi="Times New Roman"/>
          <w:sz w:val="24"/>
          <w:szCs w:val="24"/>
        </w:rPr>
        <w:t xml:space="preserve">CBIC Circular No. 204/16/2023-GST dated 27 October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clarifies that while a director’s personal guarantee to a bank for the company’s credit facilities is a supply between related persons, the RBI’s guidelines (Circular No. RBI/2021-22/121 dated 9 November 2021, Para 2.2.9(C)) bar the payment of any consideration to the director; consequently “the open market value of the said transaction / supply may be treated as zero and therefore, taxable value of such supply may be treated as zero. In such a scenario, no tax is payable on such supply of service by the director to the company.” The Circular binds the Department under Section 168.</w:t>
      </w:r>
    </w:p>
    <w:p>
      <w:pPr>
        <w:spacing w:after="140" w:line="276"/>
        <w:ind w:left="720"/>
        <w:jc w:val="both"/>
      </w:pPr>
      <w:r>
        <w:rPr>
          <w:rFonts w:ascii="Times New Roman" w:cs="Times New Roman" w:eastAsia="Times New Roman" w:hAnsi="Times New Roman"/>
          <w:b/>
          <w:bCs/>
          <w:i/>
          <w:iCs/>
          <w:sz w:val="24"/>
          <w:szCs w:val="24"/>
        </w:rPr>
        <w:t xml:space="preserve">(c) No consideration was paid. </w:t>
      </w:r>
      <w:r>
        <w:rPr>
          <w:rFonts w:ascii="Times New Roman" w:cs="Times New Roman" w:eastAsia="Times New Roman" w:hAnsi="Times New Roman"/>
          <w:sz w:val="24"/>
          <w:szCs w:val="24"/>
        </w:rPr>
        <w:t xml:space="preserve">No consideration in any form was paid or payable to the director for the guarantee, and the director is connected with the management of the company. The case therefore falls squarely within the nil-value clarification, and not within the Circular’s narrow exception (a guarantor no longer connected with management, or one actually paid remuneration).</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no GST being payable on the director’s personal guarantee — its open market value being nil under Circular No. 204/16/2023-GST, and Rule 28(2) having no application;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2026-06-13T08:13:13.010Z</dcterms:created>
  <dcterms:modified xsi:type="dcterms:W3CDTF">2026-06-13T08:13:13.010Z</dcterms:modified>
</cp:coreProperties>
</file>

<file path=docProps/custom.xml><?xml version="1.0" encoding="utf-8"?>
<Properties xmlns="http://schemas.openxmlformats.org/officeDocument/2006/custom-properties" xmlns:vt="http://schemas.openxmlformats.org/officeDocument/2006/docPropsVTypes"/>
</file>