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to unblock the Electronic Credit Ledger, blocked for recovery of a demand confirmed by an order under Section 16(4), the demand being unsustainable in view of the retrospective Section 16(5) and Rule 86A being unavailable as a recovery tool — Order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Order under Section 16(4), No. [____] dated [____]; blocking of Electronic Credit Ledger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provision is marked [VERIFY] for a final check before filing. The facts (an order under Section 16(4) and the consequent blocking of the Electronic Credit Ledger for recovery) are reproduced from the source. See Flag on signatory: the source describes a proprietorship (Proprietor Mr. ABC); the party name and execution are stated as Noticedesk Technologies Private Limited per the production standard — confirm at review.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After passing an order under Section 16(4) confirming a demand (on the footing that the input tax credit was availed beyond the time limit), the Department has blocked the Company’s Electronic Credit Ledger to recover that demand. The blocking is unsustainable on two independent footings. </w:t>
      </w:r>
      <w:r>
        <w:rPr>
          <w:rFonts w:ascii="Times New Roman" w:cs="Times New Roman" w:eastAsia="Times New Roman" w:hAnsi="Times New Roman"/>
          <w:b/>
          <w:bCs/>
          <w:i w:val="false"/>
          <w:iCs w:val="false"/>
          <w:caps w:val="false"/>
          <w:sz w:val="24"/>
          <w:szCs w:val="24"/>
        </w:rPr>
        <w:t xml:space="preserve">First</w:t>
      </w:r>
      <w:r>
        <w:rPr>
          <w:rFonts w:ascii="Times New Roman" w:cs="Times New Roman" w:eastAsia="Times New Roman" w:hAnsi="Times New Roman"/>
          <w:b w:val="false"/>
          <w:bCs w:val="false"/>
          <w:i w:val="false"/>
          <w:iCs w:val="false"/>
          <w:caps w:val="false"/>
          <w:sz w:val="24"/>
          <w:szCs w:val="24"/>
        </w:rPr>
        <w:t xml:space="preserve">, the substratum of the demand has fallen away: Section 16(5), inserted with retrospective effect from 1 July 2017, allows the credit for FY 2017-18 to 2020-21 if availed in any return filed up to 30 November 2021, so a demand resting solely on Section 16(4) no longer survives. </w:t>
      </w:r>
      <w:r>
        <w:rPr>
          <w:rFonts w:ascii="Times New Roman" w:cs="Times New Roman" w:eastAsia="Times New Roman" w:hAnsi="Times New Roman"/>
          <w:b/>
          <w:bCs/>
          <w:i w:val="false"/>
          <w:iCs w:val="false"/>
          <w:caps w:val="false"/>
          <w:sz w:val="24"/>
          <w:szCs w:val="24"/>
        </w:rPr>
        <w:t xml:space="preserve">Second</w:t>
      </w:r>
      <w:r>
        <w:rPr>
          <w:rFonts w:ascii="Times New Roman" w:cs="Times New Roman" w:eastAsia="Times New Roman" w:hAnsi="Times New Roman"/>
          <w:b w:val="false"/>
          <w:bCs w:val="false"/>
          <w:i w:val="false"/>
          <w:iCs w:val="false"/>
          <w:caps w:val="false"/>
          <w:sz w:val="24"/>
          <w:szCs w:val="24"/>
        </w:rPr>
        <w:t xml:space="preserve">, Rule 86A is a temporary, preventive measure, not a recovery tool; an Electronic Credit Ledger cannot be blocked to recover a confirmed demand, recovery lying only through Section 78/79. The ledger ought to be unblocked.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order and the blocking. </w:t>
      </w:r>
      <w:r>
        <w:rPr>
          <w:rFonts w:ascii="Times New Roman" w:cs="Times New Roman" w:eastAsia="Times New Roman" w:hAnsi="Times New Roman"/>
          <w:b w:val="false"/>
          <w:bCs w:val="false"/>
          <w:i w:val="false"/>
          <w:iCs w:val="false"/>
          <w:caps w:val="false"/>
          <w:sz w:val="24"/>
          <w:szCs w:val="24"/>
        </w:rPr>
        <w:t xml:space="preserve">An order under Section 16(4) was passed on [____] (Order No. [____]) confirming a demand on the ground that the input tax credit was availed beyond the Section 16(4) time limit; for recovery of that demand, the Department blocked the Company’s Electronic Credit Ledger on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w:t>
      </w:r>
      <w:r>
        <w:rPr>
          <w:rFonts w:ascii="Times New Roman" w:cs="Times New Roman" w:eastAsia="Times New Roman" w:hAnsi="Times New Roman"/>
          <w:b w:val="false"/>
          <w:bCs w:val="false"/>
          <w:i w:val="false"/>
          <w:iCs w:val="false"/>
          <w:caps w:val="false"/>
          <w:sz w:val="24"/>
          <w:szCs w:val="24"/>
        </w:rPr>
        <w:t xml:space="preserve">The credit pertains to FY [2017-18 / 2018-19 / 2019-20 / 2020-21] and was availed in a return filed on or before 30 November 2021.</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Section 16(4) demand does not survive the retrospective Section 16(5)</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16(5) of the CGST Act, inserted by the Finance (No. 2) Act, 2024 with retrospective effect from 1 July 2017 [VERIFY], provides that, notwithstanding Section 16(4), input tax credit for invoices or debit notes pertaining to FY 2017-18, 2018-19, 2019-20 and 2020-21 is allowed if availed in any return in Form GSTR-3B filed up to 30 November 2021. The Board’s Circular No. 237/31/2024-GST dated 15.10.2024 [VERIFY] gives effect to this relief, including for orders already passed, providing for rectification of orders that confirmed a Section 16(4) demand. The Company’s credit, having been availed within that extended window, is now allowed by Section 16(5); the demand confirmed solely under Section 16(4) therefore does not survive, and there is nothing left to recover.</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Where the Section 16(4) order has attained finality, the appropriate route to give effect to Section 16(5) is the special rectification procedure under Notification No. 22/2024-Central Tax dated 08.10.2024 (application within six months), read with Circular No. 237/31/2024-GST. The Company should file that rectification application alongside this request. [VERIFY]</w:t>
      </w:r>
    </w:p>
    <w:p>
      <w:pPr>
        <w:pStyle w:val="Heading2"/>
        <w:spacing w:after="140" w:before="200"/>
      </w:pPr>
      <w:r>
        <w:rPr>
          <w:rFonts w:ascii="Times New Roman" w:cs="Times New Roman" w:eastAsia="Times New Roman" w:hAnsi="Times New Roman"/>
          <w:b/>
          <w:bCs/>
          <w:sz w:val="24"/>
          <w:szCs w:val="24"/>
        </w:rPr>
        <w:t xml:space="preserve">Ground 2: Rule 86A is a preventive measure, not a recovery tool; the ledger cannot be blocked to recover a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apart from Section 16(5), the Electronic Credit Ledger cannot be blocked to recover a confirmed demand. Rule 86A is a temporary, preventive measure to protect the revenue where credit is fraudulently availed or ineligible; it is not a mode of recovery. Recovery of a confirmed demand lies only through the machinery of Section 78 read with Section 79. Reliance is placed on </w:t>
      </w:r>
      <w:r>
        <w:rPr>
          <w:rFonts w:ascii="Times New Roman" w:cs="Times New Roman" w:eastAsia="Times New Roman" w:hAnsi="Times New Roman"/>
          <w:b w:val="false"/>
          <w:bCs w:val="false"/>
          <w:i/>
          <w:iCs/>
          <w:caps w:val="false"/>
          <w:sz w:val="24"/>
          <w:szCs w:val="24"/>
        </w:rPr>
        <w:t xml:space="preserve">Best Crop Science Pvt. Ltd. v. Principal Commissioner, CGST</w:t>
      </w:r>
      <w:r>
        <w:rPr>
          <w:rFonts w:ascii="Times New Roman" w:cs="Times New Roman" w:eastAsia="Times New Roman" w:hAnsi="Times New Roman"/>
          <w:b w:val="false"/>
          <w:bCs w:val="false"/>
          <w:i w:val="false"/>
          <w:iCs w:val="false"/>
          <w:caps w:val="false"/>
          <w:sz w:val="24"/>
          <w:szCs w:val="24"/>
        </w:rPr>
        <w:t xml:space="preserve">, Delhi HC, W.P.(C) 10980 of 2024 (batch), dated 24.09.2024 (negative blocking impermissible; affirmed by the Supreme Court on 17.05.2025 and 09.07.2025), holding that Rule 86A is preventive and not a recovery tool; and on </w:t>
      </w:r>
      <w:r>
        <w:rPr>
          <w:rFonts w:ascii="Times New Roman" w:cs="Times New Roman" w:eastAsia="Times New Roman" w:hAnsi="Times New Roman"/>
          <w:b w:val="false"/>
          <w:bCs w:val="false"/>
          <w:i/>
          <w:iCs/>
          <w:caps w:val="false"/>
          <w:sz w:val="24"/>
          <w:szCs w:val="24"/>
        </w:rPr>
        <w:t xml:space="preserve">K-9 Enterprises v. State of Karnataka</w:t>
      </w:r>
      <w:r>
        <w:rPr>
          <w:rFonts w:ascii="Times New Roman" w:cs="Times New Roman" w:eastAsia="Times New Roman" w:hAnsi="Times New Roman"/>
          <w:b w:val="false"/>
          <w:bCs w:val="false"/>
          <w:i w:val="false"/>
          <w:iCs w:val="false"/>
          <w:caps w:val="false"/>
          <w:sz w:val="24"/>
          <w:szCs w:val="24"/>
        </w:rPr>
        <w:t xml:space="preserve">, Karnataka HC (DB), W.A. No. 100425 of 2023, dated 02.04.2024 [VERIFY] (SLP dismissed by the Supreme Court on 16.05.2025), on the conditions and limits of Rule 86A. The blocking, used here as a recovery device, is without authority.</w:t>
      </w:r>
    </w:p>
    <w:p>
      <w:pPr>
        <w:pStyle w:val="Heading2"/>
        <w:spacing w:after="140" w:before="200"/>
      </w:pPr>
      <w:r>
        <w:rPr>
          <w:rFonts w:ascii="Times New Roman" w:cs="Times New Roman" w:eastAsia="Times New Roman" w:hAnsi="Times New Roman"/>
          <w:b/>
          <w:bCs/>
          <w:sz w:val="24"/>
          <w:szCs w:val="24"/>
        </w:rPr>
        <w:t xml:space="preserve">Ground 3: Any blocking is, in any event, limited to one year under Rule 86A(3)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86A(3) provides that a restriction imposed under the rule ceases to have effect on the expiry of one year from the date of imposition. To the extent the blocking has continued beyond that period, it is impermissible and the credit must be unblocked.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UNBLOCK the Electronic Credit Ledger of the Company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demand confirmed under Section 16(4) does not survive the retrospective Section 16(5) read with Circular No. 237/31/2024-GST, and give effect to that relief (including by rectification under Notification No. 22/2024-Central Tax);</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Rule 86A is a preventive measure and not a recovery tool, and that the Electronic Credit Ledger could not be blocked to recover the demand;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any blocking cannot continue beyond one year under Rule 86A(3);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16(4), 16(5), 78, 79 of the CGST Act, 2017; Rule 86A (including sub-rule (3))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16(5) inserted by the Finance (No. 2) Act, 2024 (w.r.e.f. 01.07.2017); Circular No. 237/31/2024-GST dated 15.10.2024; Notification No. 22/2024-Central Tax dated 08.10.2024 (special rectification procedure).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Best Crop Science Pvt. Ltd. v. Principal Commissioner, CGST, Delhi HC, W.P.(C) 10980 of 2024 (batch), 24.09.2024 (negative-blocking bar; affirmed by the Supreme Court’s dismissal of the Revenue’s SLPs in Dy. Director DGGI v. Kings Security Guard Services Pvt. Ltd., 17.05.2025, 2025 (5) TMI 1519 (SC), and Commissioner CGST v. Karuna Rajendra Ringshia, 09.07.2025, 2025 (7) TMI 791 (SC)).</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K-9 Enterprises v. State of Karnataka, Karnataka HC (DB), W.A. No. 100425 of 2023, 02.04.2024; SLP dismissed by SC on 16.05.2025.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order under Section 16(4) and of the intimation blocking the Electronic Credit Ledger.</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Particulars of the credit (FY, return and date of filing) establishing availment on or before 30 November 2021.</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Rectification application under Notification No. 22/2024-Central Tax, if filed.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2026-06-13T08:26:21.648Z</dcterms:created>
  <dcterms:modified xsi:type="dcterms:W3CDTF">2026-06-13T08:26:21.648Z</dcterms:modified>
</cp:coreProperties>
</file>

<file path=docProps/custom.xml><?xml version="1.0" encoding="utf-8"?>
<Properties xmlns="http://schemas.openxmlformats.org/officeDocument/2006/custom-properties" xmlns:vt="http://schemas.openxmlformats.org/officeDocument/2006/docPropsVTypes"/>
</file>