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in Form GST MOV-07 under Section 129 (and the detention in Form GST MOV-06) issued on the ground that Part-B of the e-way bill was not generated / not filled, and request for release of the goods and the conveyance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case authority is marked [VERIFY] for a final check before filing. The ground of detention (Part-B of the e-way bill not generated / not filled) is reproduced from the source. The extract from Circular No. 64/38/2018-GST is reproduced verbatim as relied upon in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were detained, and a notice in Form GST MOV-07 under Section 129 issued, on the ground that Part-B of the e-way bill (the conveyance details) was not generated / not filled. The movement was covered by a valid tax invoice and the e-way bill with Part-A duly furnished; the omission of Part-B is a minor and technical lapse, unaccompanied by any intent to evade tax. The Board’s Circular No. 64/38/2018-GST treats such minor e-way bill discrepancies as not warranting proceedings under Section 129, only a nominal penalty applying. The goods and the conveyance are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consignment.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supplied goods to M/s [____] at [Jaipur] under Tax Invoice No. [____] and e-way bill No. [____] dated [____]; while the goods were in transit, the conveyance was intercepted and a notice under Section 129 issued.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lapse. </w:t>
      </w:r>
      <w:r>
        <w:rPr>
          <w:rFonts w:ascii="Times New Roman" w:cs="Times New Roman" w:eastAsia="Times New Roman" w:hAnsi="Times New Roman"/>
          <w:b w:val="false"/>
          <w:bCs w:val="false"/>
          <w:i w:val="false"/>
          <w:iCs w:val="false"/>
          <w:caps w:val="false"/>
          <w:sz w:val="24"/>
          <w:szCs w:val="24"/>
        </w:rPr>
        <w:t xml:space="preserve">Part-A of the e-way bill (the supply details) was duly furnished; Part-B (the conveyance number) was not generated / not filled, owing to [a short-distance movement / a clerical or technical omission — specify]. The invoice and Part-A correctly described the consignment.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goods and conveyance were detained (Form GST MOV-06) and a notice in Form GST MOV-07 issued under Section 129, the sole ground being the non-generation of Part-B.</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Non-generation of Part-B is a minor / technical discrepancy not warranting Section 129 — Circular No. 64/38/2018-GST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by Circular No. 64/38/2018-GST dated 14.09.2018 [VERIFY], clarified that where a consignment is accompanied by an invoice and an e-way bill, proceedings under Section 129 may not be initiated for specified minor discrepancies, only a nominal penalty under Section 125 applying. The relevant extract, reproduced as relied upon, reads:</w:t>
      </w:r>
    </w:p>
    <w:p>
      <w:pPr>
        <w:spacing w:after="140" w:line="264"/>
        <w:ind w:left="720" w:right="360"/>
        <w:jc w:val="both"/>
      </w:pPr>
      <w:r>
        <w:rPr>
          <w:rFonts w:ascii="Times New Roman" w:cs="Times New Roman" w:eastAsia="Times New Roman" w:hAnsi="Times New Roman"/>
          <w:i/>
          <w:iCs/>
          <w:sz w:val="22"/>
          <w:szCs w:val="22"/>
        </w:rPr>
        <w:t xml:space="preserve">5. Further, in case a consignment of goods is accompanied with an invoice or any other specified document and also an e-way bill, proceedings under section 129 of the CGST Act may not be initiated, inter alia, in the following situations: a) Spelling mistakes in the name of the consignor or the consignee but the GSTIN, wherever applicable, is correct; b) Error in the pin-code but the address of the consignor and the consignee mentioned is correct, subject to the condition that the error in the PIN code should not have the effect of increasing the validity period of the e-way bill; c) Error in the address of the consignee to the extent that the locality and other details of the consignee are correct; d) Error in one or two digits of the document number mentioned in the e-way bill; e) Error in 4 or 6 digit level of HSN where the first 2 digits of HSN are correct and the rate of tax mentioned is correct; f) Error in one or two digits/characters of the vehicle number.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omission of Part-B, with Part-A and the invoice correctly in place and the consignment genuine, is of the same minor and technical character. Proceedings under Section 129 ought not to have been initiated, and at most a nominal penalty under Section 125 applies.</w:t>
      </w:r>
    </w:p>
    <w:p>
      <w:pPr>
        <w:pStyle w:val="Heading2"/>
        <w:spacing w:after="140" w:before="200"/>
      </w:pPr>
      <w:r>
        <w:rPr>
          <w:rFonts w:ascii="Times New Roman" w:cs="Times New Roman" w:eastAsia="Times New Roman" w:hAnsi="Times New Roman"/>
          <w:b/>
          <w:bCs/>
          <w:sz w:val="24"/>
          <w:szCs w:val="24"/>
        </w:rPr>
        <w:t xml:space="preserve">Ground 2: A Part-B omission without intent to evade does not justify detention or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Detention and penalty under Section 129 are directed at evasion. Where Part-A was furnished, the invoice accompanied the goods, and the consignment was genuine, the omission of Part-B is a procedural lapse betraying no intent to evade. Reliance is placed on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2022 (1) TMI 954 (SC) / (2022) 14 SCC 157 (SLP(C) No. 21132 of 2021, order dated 12.01.2022, affirming Telangana HC in W.P. No. 9688 of 2020, dated 02.06.2021) [VERIFY] (detention impermissible absent intent to evade), and on </w:t>
      </w:r>
      <w:r>
        <w:rPr>
          <w:rFonts w:ascii="Times New Roman" w:cs="Times New Roman" w:eastAsia="Times New Roman" w:hAnsi="Times New Roman"/>
          <w:b w:val="false"/>
          <w:bCs w:val="false"/>
          <w:i/>
          <w:iCs/>
          <w:caps w:val="false"/>
          <w:sz w:val="24"/>
          <w:szCs w:val="24"/>
        </w:rPr>
        <w:t xml:space="preserve">VSL Alloys (India) Pvt. Ltd. v. State of U.P.</w:t>
      </w:r>
      <w:r>
        <w:rPr>
          <w:rFonts w:ascii="Times New Roman" w:cs="Times New Roman" w:eastAsia="Times New Roman" w:hAnsi="Times New Roman"/>
          <w:b w:val="false"/>
          <w:bCs w:val="false"/>
          <w:i w:val="false"/>
          <w:iCs w:val="false"/>
          <w:caps w:val="false"/>
          <w:sz w:val="24"/>
          <w:szCs w:val="24"/>
        </w:rPr>
        <w:t xml:space="preserve">, Allahabad HC, Writ Tax No. 637 of 2018, dated 13.04.2018 [VERIFY] (where Part-B was not filled but the goods were accompanied by the invoice and the distance was short, detention and penalty were set aside).</w:t>
      </w:r>
    </w:p>
    <w:p>
      <w:pPr>
        <w:pStyle w:val="Heading2"/>
        <w:spacing w:after="140" w:before="200"/>
      </w:pPr>
      <w:r>
        <w:rPr>
          <w:rFonts w:ascii="Times New Roman" w:cs="Times New Roman" w:eastAsia="Times New Roman" w:hAnsi="Times New Roman"/>
          <w:b/>
          <w:bCs/>
          <w:sz w:val="24"/>
          <w:szCs w:val="24"/>
        </w:rPr>
        <w:t xml:space="preserve">Ground 3: Release of the goods and the conveyance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ought to be released forthwith. At most, a general penalty under Section 125 may apply; the levy of tax and penalty under Section 129 is not warranted. The Company is willing, under protest, to furnish such security as the law permits to secure immediate release.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(No. [____]) forthwith;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in terms of Circular No. 64/38/2018-GST, that the non-generation of Part-B is a minor discrepancy not warranting proceedings under Section 129;</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intent to evade tax is made out;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 at most a nominal penalty under Section 125 applying;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125, 129 of the CGST Act, 2017; Rule 138 of the CGST Rules, 2017;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64/38/2018-GST dated 14.09.2018.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2022 (1) TMI 954 (SC) / (2022) 14 SCC 157, SLP(C) No. 21132 of 2021, order dated 12.01.2022.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VSL Alloys (India) Pvt. Ltd. v. State of U.P., Allahabad HC, Writ Tax No. 637 of 2018, dated 13.04.2018.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2026-06-13T08:26:22.133Z</dcterms:created>
  <dcterms:modified xsi:type="dcterms:W3CDTF">2026-06-13T08:26:22.133Z</dcterms:modified>
</cp:coreProperties>
</file>

<file path=docProps/custom.xml><?xml version="1.0" encoding="utf-8"?>
<Properties xmlns="http://schemas.openxmlformats.org/officeDocument/2006/custom-properties" xmlns:vt="http://schemas.openxmlformats.org/officeDocument/2006/docPropsVTypes"/>
</file>