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 of the Proper Officer]</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notice proposing reversal of input tax credit, with interest and penalty, under the second proviso to Section 16(2) read with Rule 37, for alleged non-payment to the supplier within 180 days of the date of the invoice — Letter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Letter No. [____] dated [____] (the “Impugned Notice”).</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provision is marked [VERIFY] for a final check before filing. The allegation (non-payment to the supplier within 180 days, with proposed reversal, interest and penalty), and the text of the second and third provisos to Section 16(2), are reproduced from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Impugned Notice proposes to reverse the Company’s input tax credit, with interest and penalty, under the second proviso to Section 16(2) read with Rule 37, on the ground that the Company did not pay its supplier within 180 days of the date of the invoice. The proposal is unsustainable on the facts and the law. The Company </w:t>
      </w:r>
      <w:r>
        <w:rPr>
          <w:rFonts w:ascii="Times New Roman" w:cs="Times New Roman" w:eastAsia="Times New Roman" w:hAnsi="Times New Roman"/>
          <w:b/>
          <w:bCs/>
          <w:i w:val="false"/>
          <w:iCs w:val="false"/>
          <w:caps w:val="false"/>
          <w:sz w:val="24"/>
          <w:szCs w:val="24"/>
        </w:rPr>
        <w:t xml:space="preserve">did pay</w:t>
      </w:r>
      <w:r>
        <w:rPr>
          <w:rFonts w:ascii="Times New Roman" w:cs="Times New Roman" w:eastAsia="Times New Roman" w:hAnsi="Times New Roman"/>
          <w:b w:val="false"/>
          <w:bCs w:val="false"/>
          <w:i w:val="false"/>
          <w:iCs w:val="false"/>
          <w:caps w:val="false"/>
          <w:sz w:val="24"/>
          <w:szCs w:val="24"/>
        </w:rPr>
        <w:t xml:space="preserve"> its supplier the value of the supply together with tax, as Annexure 1 establishes; where any payment was made beyond 180 days, the third proviso to Section 16(2) expressly entitles the Company to re-avail the credit on making payment, so the reversal is at most temporary and self-correcting. The mechanism is one of reversal and re-credit linked to interest, not a permanent forfeiture, and penalty does not attach to a timing adjustment made in good faith.</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availed input tax credit on inward supplies from M/s [____] on the strength of valid tax invoices.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Payment to the supplier. </w:t>
      </w:r>
      <w:r>
        <w:rPr>
          <w:rFonts w:ascii="Times New Roman" w:cs="Times New Roman" w:eastAsia="Times New Roman" w:hAnsi="Times New Roman"/>
          <w:b w:val="false"/>
          <w:bCs w:val="false"/>
          <w:i w:val="false"/>
          <w:iCs w:val="false"/>
          <w:caps w:val="false"/>
          <w:sz w:val="24"/>
          <w:szCs w:val="24"/>
        </w:rPr>
        <w:t xml:space="preserve">The Company paid the supplier the value of the supply together with the tax, through banking channels / book adjustment as permitted, as detailed in Annexure 1. [Where applicable: a part of the payment was made beyond 180 days from the invoice date, owing to (reason).]</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allegation. </w:t>
      </w:r>
      <w:r>
        <w:rPr>
          <w:rFonts w:ascii="Times New Roman" w:cs="Times New Roman" w:eastAsia="Times New Roman" w:hAnsi="Times New Roman"/>
          <w:b w:val="false"/>
          <w:bCs w:val="false"/>
          <w:i w:val="false"/>
          <w:iCs w:val="false"/>
          <w:caps w:val="false"/>
          <w:sz w:val="24"/>
          <w:szCs w:val="24"/>
        </w:rPr>
        <w:t xml:space="preserve">By the Impugned Notice, the Department alleges non-payment within 180 days and proposes reversal of the credit with interest and penalty.</w:t>
      </w:r>
    </w:p>
    <w:p>
      <w:pPr>
        <w:pStyle w:val="Heading1"/>
        <w:spacing w:after="160" w:before="260"/>
      </w:pPr>
      <w:r>
        <w:rPr>
          <w:rFonts w:ascii="Times New Roman" w:cs="Times New Roman" w:eastAsia="Times New Roman" w:hAnsi="Times New Roman"/>
          <w:b/>
          <w:bCs/>
          <w:caps/>
          <w:sz w:val="26"/>
          <w:szCs w:val="26"/>
        </w:rPr>
        <w:t xml:space="preserve">Grounds / Submissions</w:t>
      </w:r>
    </w:p>
    <w:p>
      <w:pPr>
        <w:pStyle w:val="Heading2"/>
        <w:spacing w:after="140" w:before="200"/>
      </w:pPr>
      <w:r>
        <w:rPr>
          <w:rFonts w:ascii="Times New Roman" w:cs="Times New Roman" w:eastAsia="Times New Roman" w:hAnsi="Times New Roman"/>
          <w:b/>
          <w:bCs/>
          <w:sz w:val="24"/>
          <w:szCs w:val="24"/>
        </w:rPr>
        <w:t xml:space="preserve">Ground 1: The Company paid the supplier; the factual premise of the notice is incorrect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second proviso to Section 16(2) is attracted only where the recipient ‘fails to pay’ the supplier the value of the supply together with tax within 180 days of the invoice. Here the Company did pay the supplier, as Annexure 1 establishes by reference to the invoices, the ledger of the supplier, and the banking / adjustment entries. The factual foundation of the proposed reversal is therefore absent. (Payment by book adjustment / set-off against receivables, where it represents a genuine discharge of the consideration, also constitutes ‘payment’ for this purpose.)</w:t>
      </w:r>
    </w:p>
    <w:p>
      <w:pPr>
        <w:pStyle w:val="Heading2"/>
        <w:spacing w:after="140" w:before="200"/>
      </w:pPr>
      <w:r>
        <w:rPr>
          <w:rFonts w:ascii="Times New Roman" w:cs="Times New Roman" w:eastAsia="Times New Roman" w:hAnsi="Times New Roman"/>
          <w:b/>
          <w:bCs/>
          <w:sz w:val="24"/>
          <w:szCs w:val="24"/>
        </w:rPr>
        <w:t xml:space="preserve">Ground 2: Where any payment was beyond 180 days, the third proviso restores the credit on payment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Even where a payment was made beyond 180 days, the third proviso to Section 16(2) expressly provides that the recipient ‘shall be entitled to avail of the credit of input tax on payment made by him of the amount towards the value of supply along with tax payable thereon’. The scheme is thus one of temporary reversal followed by re-credit upon payment, with interest for the interregnum — not a permanent denial of credit. To the extent any reversal was warranted, the Company is entitled to the corresponding re-credit on the payments since made, and the net effect is revenue-neutral but for interest.</w:t>
      </w:r>
    </w:p>
    <w:p>
      <w:pPr>
        <w:pStyle w:val="Heading2"/>
        <w:spacing w:after="140" w:before="200"/>
      </w:pPr>
      <w:r>
        <w:rPr>
          <w:rFonts w:ascii="Times New Roman" w:cs="Times New Roman" w:eastAsia="Times New Roman" w:hAnsi="Times New Roman"/>
          <w:b/>
          <w:bCs/>
          <w:sz w:val="24"/>
          <w:szCs w:val="24"/>
        </w:rPr>
        <w:t xml:space="preserve">Ground 3: The amended Rule 37 confines the consequence to reversal with interest; penalty does not attach</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Rule 37, as substituted with effect from 1 October 2022 (by Notification No. 19/2022-Central Tax dated 28.09.2022) [VERIFY], requires the recipient who has not paid within 180 days to reverse the credit (by adding it to the output tax liability) with interest under Section 50, and to re-avail it on payment. The consequence prescribed is reversal with interest and re-credit; it is not a permanent forfeiture, and it does not carry penalty. A bona fide timing difference in payment to a supplier, with no suppression or intent to evade, attracts no penalty.</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Adjudicating Authority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on the evidence at Annexure 1, that the Company paid its supplier the value of the supply together with tax, so that the second proviso to Section 16(2) is not attracted;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to the extent any payment was beyond 180 days, the Company is entitled to re-credit under the third proviso to Section 16(2) on the payments since made;</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DROP the proposed reversal and penalty, and confine any interest to the limited period and amount actually warranted under Rule 37;</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personal hearing through the Authorised Representative before any adverse order;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 16(2) (second and third provisos) and Section 50 of the CGST Act, 2017; Rule 37 of the CGST Rules, 2017 (as substituted by Notification No. 19/2022-Central Tax dated 28.09.2022, w.e.f. 01.10.2022). [VERIFY]</w:t>
      </w:r>
    </w:p>
    <w:p>
      <w:pPr>
        <w:pStyle w:val="Heading1"/>
        <w:spacing w:after="160" w:before="260"/>
      </w:pPr>
      <w:r>
        <w:rPr>
          <w:rFonts w:ascii="Times New Roman" w:cs="Times New Roman" w:eastAsia="Times New Roman" w:hAnsi="Times New Roman"/>
          <w:b/>
          <w:bCs/>
          <w:caps/>
          <w:sz w:val="26"/>
          <w:szCs w:val="26"/>
        </w:rPr>
        <w:t xml:space="preserve">Verification and Declaration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 [Name], [Director / Authorised Signatory] of M/s Noticedesk Technologies Private Limited, do hereby solemnly affirm and declare that the contents of the above reply are true and correct to the best of my knowledge and belief, that the documents annexed are true copies of their originals, and that nothing material has been concealed therefrom.</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Supplier-wise statement of payments (invoices, supplier ledger, and banking / adjustment entries) evidencing payment of the value of the supply together with tax.</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Copy of the Impugned Notice.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2026-06-13T08:26:22.719Z</dcterms:created>
  <dcterms:modified xsi:type="dcterms:W3CDTF">2026-06-13T08:26:22.719Z</dcterms:modified>
</cp:coreProperties>
</file>

<file path=docProps/custom.xml><?xml version="1.0" encoding="utf-8"?>
<Properties xmlns="http://schemas.openxmlformats.org/officeDocument/2006/custom-properties" xmlns:vt="http://schemas.openxmlformats.org/officeDocument/2006/docPropsVTypes"/>
</file>