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Show Cause Notice questioning the refund of input tax credit sanctioned in an inverted-duty-structure claim, the Show Cause Notice having been issued on a purported objection by the Commissioner under Section 107(2) and being without authority of law — SCN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Show Cause Notice No. [____] dated [____] (the “Impugned SCN”); Order-in-Review / OIR No. [____] dated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case authority is marked [VERIFY] for a final check before filing. The facts (a refund of ITC sanctioned in an inverted-duty-structure claim under Section 54 read with Rule 89; a subsequent SCN issued on a purported objection of the Commissioner under Section 107(2)) are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was granted a refund of accumulated input tax credit in an inverted-duty-structure claim under Section 54 read with Rule 89. By the Impugned SCN the Department now seeks to question that refund, on the strength of a purported objection by the Commissioner under Section 107(2). The Impugned SCN is without authority of law. Section 107(2) empowers the Commissioner only to </w:t>
      </w:r>
      <w:r>
        <w:rPr>
          <w:rFonts w:ascii="Times New Roman" w:cs="Times New Roman" w:eastAsia="Times New Roman" w:hAnsi="Times New Roman"/>
          <w:b/>
          <w:bCs/>
          <w:i w:val="false"/>
          <w:iCs w:val="false"/>
          <w:caps w:val="false"/>
          <w:sz w:val="24"/>
          <w:szCs w:val="24"/>
        </w:rPr>
        <w:t xml:space="preserve">direct the filing of an appeal</w:t>
      </w:r>
      <w:r>
        <w:rPr>
          <w:rFonts w:ascii="Times New Roman" w:cs="Times New Roman" w:eastAsia="Times New Roman" w:hAnsi="Times New Roman"/>
          <w:b w:val="false"/>
          <w:bCs w:val="false"/>
          <w:i w:val="false"/>
          <w:iCs w:val="false"/>
          <w:caps w:val="false"/>
          <w:sz w:val="24"/>
          <w:szCs w:val="24"/>
        </w:rPr>
        <w:t xml:space="preserve"> against an order before the Appellate Authority; it does not confer any power to revise or reopen a sanctioned refund through a fresh Show Cause Notice. The power of revision lies elsewhere (Section 108), and an erroneous refund, if any, can be recovered only through a proper Show Cause Notice under Section 73/74. The Impugned SCN is also vague and unsupported by reasons. It is liable to be dropped.</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makes supplies attracting an inverted duty structure and claimed refund of the accumulated input tax credit under Section 54(3) read with Rule 89.</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refund. </w:t>
      </w:r>
      <w:r>
        <w:rPr>
          <w:rFonts w:ascii="Times New Roman" w:cs="Times New Roman" w:eastAsia="Times New Roman" w:hAnsi="Times New Roman"/>
          <w:b w:val="false"/>
          <w:bCs w:val="false"/>
          <w:i w:val="false"/>
          <w:iCs w:val="false"/>
          <w:caps w:val="false"/>
          <w:sz w:val="24"/>
          <w:szCs w:val="24"/>
        </w:rPr>
        <w:t xml:space="preserve">The Company’s refund claim was processed and the refund sanctioned by the Proper Officer after due verification.</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Impugned SCN. </w:t>
      </w:r>
      <w:r>
        <w:rPr>
          <w:rFonts w:ascii="Times New Roman" w:cs="Times New Roman" w:eastAsia="Times New Roman" w:hAnsi="Times New Roman"/>
          <w:b w:val="false"/>
          <w:bCs w:val="false"/>
          <w:i w:val="false"/>
          <w:iCs w:val="false"/>
          <w:caps w:val="false"/>
          <w:sz w:val="24"/>
          <w:szCs w:val="24"/>
        </w:rPr>
        <w:t xml:space="preserve">The Department thereafter issued the Impugned SCN, stating that it was issued because the Commissioner had, by Order-in-Review / OIR No. [____] dated [____], objected to the sanction in purported exercise of Section 107(2), and questioning the correctness of the refund.</w:t>
      </w:r>
    </w:p>
    <w:p>
      <w:pPr>
        <w:pStyle w:val="Heading1"/>
        <w:spacing w:after="160" w:before="260"/>
      </w:pPr>
      <w:r>
        <w:rPr>
          <w:rFonts w:ascii="Times New Roman" w:cs="Times New Roman" w:eastAsia="Times New Roman" w:hAnsi="Times New Roman"/>
          <w:b/>
          <w:bCs/>
          <w:caps/>
          <w:sz w:val="26"/>
          <w:szCs w:val="26"/>
        </w:rPr>
        <w:t xml:space="preserve">Grounds / Submissions</w:t>
      </w:r>
    </w:p>
    <w:p>
      <w:pPr>
        <w:pStyle w:val="Heading2"/>
        <w:spacing w:after="140" w:before="200"/>
      </w:pPr>
      <w:r>
        <w:rPr>
          <w:rFonts w:ascii="Times New Roman" w:cs="Times New Roman" w:eastAsia="Times New Roman" w:hAnsi="Times New Roman"/>
          <w:b/>
          <w:bCs/>
          <w:sz w:val="24"/>
          <w:szCs w:val="24"/>
        </w:rPr>
        <w:t xml:space="preserve">Ground 1: Section 107(2) does not empower the Commissioner to revise or reopen a sanctioned refund through an SCN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107(2) empowers the Commissioner, on examining the record of any proceeding, to direct a subordinate officer to </w:t>
      </w:r>
      <w:r>
        <w:rPr>
          <w:rFonts w:ascii="Times New Roman" w:cs="Times New Roman" w:eastAsia="Times New Roman" w:hAnsi="Times New Roman"/>
          <w:b w:val="false"/>
          <w:bCs w:val="false"/>
          <w:i/>
          <w:iCs/>
          <w:caps w:val="false"/>
          <w:sz w:val="24"/>
          <w:szCs w:val="24"/>
        </w:rPr>
        <w:t xml:space="preserve">apply to the Appellate Authority</w:t>
      </w:r>
      <w:r>
        <w:rPr>
          <w:rFonts w:ascii="Times New Roman" w:cs="Times New Roman" w:eastAsia="Times New Roman" w:hAnsi="Times New Roman"/>
          <w:b w:val="false"/>
          <w:bCs w:val="false"/>
          <w:i w:val="false"/>
          <w:iCs w:val="false"/>
          <w:caps w:val="false"/>
          <w:sz w:val="24"/>
          <w:szCs w:val="24"/>
        </w:rPr>
        <w:t xml:space="preserve"> for the determination of such points arising out of the order as may be specified — that is, to cause an appeal to be filed before the Appellate Authority within the prescribed period. It confers no power to revise, reopen or set aside the order, and no power to issue a fresh Show Cause Notice questioning a sanctioned refund. The revisional power is separately and distinctly conferred by Section 108 on the Revisional Authority, subject to its own conditions and limitations. The Impugned SCN, issued on a purported Section 107(2) objection, is therefore without authority of law and void.</w:t>
      </w:r>
    </w:p>
    <w:p>
      <w:pPr>
        <w:pStyle w:val="Heading2"/>
        <w:spacing w:after="140" w:before="200"/>
      </w:pPr>
      <w:r>
        <w:rPr>
          <w:rFonts w:ascii="Times New Roman" w:cs="Times New Roman" w:eastAsia="Times New Roman" w:hAnsi="Times New Roman"/>
          <w:b/>
          <w:bCs/>
          <w:sz w:val="24"/>
          <w:szCs w:val="24"/>
        </w:rPr>
        <w:t xml:space="preserve">Ground 2: An erroneous refund can be recovered only through a proper Show Cause Notice under Section 73/74</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If the Department were of the view that the refund was erroneously sanctioned, the only lawful course would be to proceed under Section 73 or 74 (a refund erroneously made being expressly within the scope of those provisions), by a Show Cause Notice setting out the grounds and affording a hearing. The Department cannot, by labelling a communication as arising from a Section 107(2) objection, bypass that machinery. The Impugned SCN does not purport to be, and does not satisfy the requirements of, a notice under Section 73/74.</w:t>
      </w:r>
    </w:p>
    <w:p>
      <w:pPr>
        <w:pStyle w:val="Heading2"/>
        <w:spacing w:after="140" w:before="200"/>
      </w:pPr>
      <w:r>
        <w:rPr>
          <w:rFonts w:ascii="Times New Roman" w:cs="Times New Roman" w:eastAsia="Times New Roman" w:hAnsi="Times New Roman"/>
          <w:b/>
          <w:bCs/>
          <w:sz w:val="24"/>
          <w:szCs w:val="24"/>
        </w:rPr>
        <w:t xml:space="preserve">Ground 3: The Impugned SCN is vague and unsupported by reasons — Brindavan Beverages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A Show Cause Notice is the foundation of any proceeding; it must set out the precise case the noticee is to meet, with particulars. A vague or unintelligible notice vitiates the proceeding. Reliance is placed on </w:t>
      </w:r>
      <w:r>
        <w:rPr>
          <w:rFonts w:ascii="Times New Roman" w:cs="Times New Roman" w:eastAsia="Times New Roman" w:hAnsi="Times New Roman"/>
          <w:b w:val="false"/>
          <w:bCs w:val="false"/>
          <w:i/>
          <w:iCs/>
          <w:caps w:val="false"/>
          <w:sz w:val="24"/>
          <w:szCs w:val="24"/>
        </w:rPr>
        <w:t xml:space="preserve">Commissioner of Central Excise, Bangalore v. Brindavan Beverages (P) Ltd.</w:t>
      </w:r>
      <w:r>
        <w:rPr>
          <w:rFonts w:ascii="Times New Roman" w:cs="Times New Roman" w:eastAsia="Times New Roman" w:hAnsi="Times New Roman"/>
          <w:b w:val="false"/>
          <w:bCs w:val="false"/>
          <w:i w:val="false"/>
          <w:iCs w:val="false"/>
          <w:caps w:val="false"/>
          <w:sz w:val="24"/>
          <w:szCs w:val="24"/>
        </w:rPr>
        <w:t xml:space="preserve">, (2007) 5 SCC 388 / MANU/SC/2645/2007 [VERIFY], where the Hon’ble Supreme Court held that where the foundation of the notice is not laid with the necessary particulars, the proceeding is liable to fail. The Impugned SCN, which rests merely on the Commissioner’s objection and does not set out a tenable ground for recovery, fails this test.</w:t>
      </w:r>
    </w:p>
    <w:p>
      <w:pPr>
        <w:pStyle w:val="Heading2"/>
        <w:spacing w:after="140" w:before="200"/>
      </w:pPr>
      <w:r>
        <w:rPr>
          <w:rFonts w:ascii="Times New Roman" w:cs="Times New Roman" w:eastAsia="Times New Roman" w:hAnsi="Times New Roman"/>
          <w:b/>
          <w:bCs/>
          <w:sz w:val="24"/>
          <w:szCs w:val="24"/>
        </w:rPr>
        <w:t xml:space="preserve">Ground 4 (without prejudice): On merits, the refund was claimed in accordance with the law then prevailing</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Without prejudice to the above, the refund was claimed and sanctioned in accordance with Section 54(3) and Rule 89 as they stood, and on the understanding of the inverted-duty-structure refund then prevailing. Any subsequent change in the legal position or in the refund formula operates prospectively and cannot render a refund, validly sanctioned earlier, recoverable; nor can it be visited with interest or penalty in the absence of any misstatement by the Company.</w:t>
      </w:r>
    </w:p>
    <w:p>
      <w:pPr>
        <w:spacing w:after="120" w:before="120"/>
        <w:jc w:val="both"/>
      </w:pPr>
      <w:r>
        <w:rPr>
          <w:rFonts w:ascii="Times New Roman" w:cs="Times New Roman" w:eastAsia="Times New Roman" w:hAnsi="Times New Roman"/>
          <w:b/>
          <w:bCs/>
          <w:i/>
          <w:iCs/>
          <w:sz w:val="20"/>
          <w:szCs w:val="20"/>
        </w:rPr>
        <w:t xml:space="preserve">Caution (for review): </w:t>
      </w:r>
      <w:r>
        <w:rPr>
          <w:rFonts w:ascii="Times New Roman" w:cs="Times New Roman" w:eastAsia="Times New Roman" w:hAnsi="Times New Roman"/>
          <w:i/>
          <w:iCs/>
          <w:sz w:val="20"/>
          <w:szCs w:val="20"/>
        </w:rPr>
        <w:t xml:space="preserve">On the substantive inverted-duty-structure question, note Union of India v. VKC Footsteps India Pvt. Ltd., (2022) 2 SCC 603 [VERIFY], in which the Supreme Court upheld the validity of the Rule 89(5) formula (confining the refund to input goods and excluding input services), and the subsequent amendment of the formula (Notification No. 14/2022-Central Tax dated 05.07.2022 and Circular No. 181/13/2022-GST [VERIFY], prospective). The merits should be assessed against the precise refund computed and the period involved; the Company’s stronger grounds here are the procedural ones in Grounds 1–3.</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Adjudicating Authority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DROP / withdraw the Impugned SCN as being without authority of law, Section 107(2) conferring no power to revise or reopen a sanctioned refund through a Show Cause Notice;</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an erroneous refund, if any, can be recovered only through a proper Show Cause Notice under Section 73/74;</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the Impugned SCN is vague and unsupported by reasons and is therefore unsustainable;</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Schedule of 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54(3), 73, 74, 107(2), 108 of the CGST Act, 2017; Rule 89 (including Rule 89(5)) of the CGST Rules, 2017.</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Commissioner of Central Excise, Bangalore v. Brindavan Beverages (P) Ltd., Supreme Court, (2007) 5 SCC 388 / MANU/SC/2645/2007.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Union of India v. VKC Footsteps India Pvt. Ltd., Supreme Court, (2022) 2 SCC 603 (validity of the Rule 89(5) formula); Notification No. 14/2022-Central Tax dated 05.07.2022 and Circular No. 181/13/2022-GST (amended formula, prospective). [VERIFY]</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Refund application (RFD-01), the sanction order (RFD-06) and the payment advice (RFD-05).</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Copy of the Impugned SCN and of the Order-in-Review / OIR relied upon.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2026-06-13T08:26:22.740Z</dcterms:created>
  <dcterms:modified xsi:type="dcterms:W3CDTF">2026-06-13T08:26:22.740Z</dcterms:modified>
</cp:coreProperties>
</file>

<file path=docProps/custom.xml><?xml version="1.0" encoding="utf-8"?>
<Properties xmlns="http://schemas.openxmlformats.org/officeDocument/2006/custom-properties" xmlns:vt="http://schemas.openxmlformats.org/officeDocument/2006/docPropsVTypes"/>
</file>