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demanding interest under Section 50 for the delayed filing of Form GSTR-3B, the interest being payable only on the net cash component and, being disputed, requiring proper adjudication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 summary in Form GST DRC-01 (Rule 142(1)(a)),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amendment and case authority is marked [VERIFY] for a final check before filing. The basis of the demand (interest under Section 50 for the period from the due date to the date of filing of GSTR-3B), and the reference to Rule 100(2) / Rule 142(1)(a),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demands interest under Section 50 for the delayed filing of Form GSTR-3B for [period]. The demand is excessive and procedurally infirm. Interest under the proviso to Section 50(1) is leviable only on the portion of the tax discharged through the electronic cash ledger — the net cash liability — and not on the portion set off from available input tax credit; that net-liability basis applies from 1 July 2017. Where, as here, the interest is disputed (as to the basis and the computation), it cannot be recovered without proper adjudication. The reference to the best-judgment machinery in Rule 100(2) is, in any event, misplaced for a mere interest demand. The interest must be re-computed on the net cash basis, and any disputed amount adjudicated after a hearing.</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delay and discharge. </w:t>
      </w:r>
      <w:r>
        <w:rPr>
          <w:rFonts w:ascii="Times New Roman" w:cs="Times New Roman" w:eastAsia="Times New Roman" w:hAnsi="Times New Roman"/>
          <w:b w:val="false"/>
          <w:bCs w:val="false"/>
          <w:i w:val="false"/>
          <w:iCs w:val="false"/>
          <w:caps w:val="false"/>
          <w:sz w:val="24"/>
          <w:szCs w:val="24"/>
        </w:rPr>
        <w:t xml:space="preserve">Certain Form GSTR-3B returns for [period] were filed after the due date. The liability for those periods was discharged substantially out of available input tax credit, the cash component (if any) being small.</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demand. </w:t>
      </w:r>
      <w:r>
        <w:rPr>
          <w:rFonts w:ascii="Times New Roman" w:cs="Times New Roman" w:eastAsia="Times New Roman" w:hAnsi="Times New Roman"/>
          <w:b w:val="false"/>
          <w:bCs w:val="false"/>
          <w:i w:val="false"/>
          <w:iCs w:val="false"/>
          <w:caps w:val="false"/>
          <w:sz w:val="24"/>
          <w:szCs w:val="24"/>
        </w:rPr>
        <w:t xml:space="preserve">By the Impugned SCN, the Department demands interest under Section 50 computed on the tax for the period of delay, apparently on the gross liability.</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Interest is payable only on the net cash liability — the proviso to Section 50(1)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the proviso to Section 50(1) (inserted by the Finance (No. 2) Act, 2019, and given retrospective effect from 1 July 2017), interest on the tax declared in a belatedly furnished GSTR-3B is leviable only on that portion of the tax that is paid by debiting the electronic cash ledger — the net cash liability — and not on the portion set off from the electronic credit ledger (except where the return is furnished after the commencement of proceedings under Section 73/74). The interest, if computed on the gross liability, must be re-computed on the net cash basis. The Company furnishes a period-wise working of the net cash liability at Annexure 1. [VERIFY for the retrospective operation and the exception]</w:t>
      </w:r>
    </w:p>
    <w:p>
      <w:pPr>
        <w:pStyle w:val="Heading2"/>
        <w:spacing w:after="140" w:before="200"/>
      </w:pPr>
      <w:r>
        <w:rPr>
          <w:rFonts w:ascii="Times New Roman" w:cs="Times New Roman" w:eastAsia="Times New Roman" w:hAnsi="Times New Roman"/>
          <w:b/>
          <w:bCs/>
          <w:sz w:val="24"/>
          <w:szCs w:val="24"/>
        </w:rPr>
        <w:t xml:space="preserve">Ground 2: Disputed interest cannot be recovered without proper adjudication — Mahadeo Construction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While interest in a case of admitted delay is automatic, where the leviability or the quantum of interest is disputed it must be adjudicated under Section 73/74 after a proper notice and hearing, and cannot be recovered coercively on the strength of a summary. Reliance is placed on </w:t>
      </w:r>
      <w:r>
        <w:rPr>
          <w:rFonts w:ascii="Times New Roman" w:cs="Times New Roman" w:eastAsia="Times New Roman" w:hAnsi="Times New Roman"/>
          <w:b w:val="false"/>
          <w:bCs w:val="false"/>
          <w:i/>
          <w:iCs/>
          <w:caps w:val="false"/>
          <w:sz w:val="24"/>
          <w:szCs w:val="24"/>
        </w:rPr>
        <w:t xml:space="preserve">Mahadeo Construction Co. v. Union of India</w:t>
      </w:r>
      <w:r>
        <w:rPr>
          <w:rFonts w:ascii="Times New Roman" w:cs="Times New Roman" w:eastAsia="Times New Roman" w:hAnsi="Times New Roman"/>
          <w:b w:val="false"/>
          <w:bCs w:val="false"/>
          <w:i w:val="false"/>
          <w:iCs w:val="false"/>
          <w:caps w:val="false"/>
          <w:sz w:val="24"/>
          <w:szCs w:val="24"/>
        </w:rPr>
        <w:t xml:space="preserve">, Jharkhand HC, W.P.(T) No. 3517 of 2019, dated 21.04.2020 [VERIFY]. The Company disputes both the basis (gross vs net) and the computation of the interest; the matter must therefore be adjudicated, and the Company heard, before any recovery.</w:t>
      </w:r>
    </w:p>
    <w:p>
      <w:pPr>
        <w:pStyle w:val="Heading2"/>
        <w:spacing w:after="140" w:before="200"/>
      </w:pPr>
      <w:r>
        <w:rPr>
          <w:rFonts w:ascii="Times New Roman" w:cs="Times New Roman" w:eastAsia="Times New Roman" w:hAnsi="Times New Roman"/>
          <w:b/>
          <w:bCs/>
          <w:sz w:val="24"/>
          <w:szCs w:val="24"/>
        </w:rPr>
        <w:t xml:space="preserve">Ground 3: The best-judgment machinery under Rule 100(2) is misplaced for an interest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100(2) read with Section 63 concerns best-judgment assessment of an unregistered or non-filing person through Forms GST ASMT-14 and ASMT-15; it is not the vehicle for a demand of interest on a filed (albeit delayed) return. To the extent the Impugned SCN invokes that machinery, it is misconceived. Interest, if any, must be dealt with under the proper provision after due process.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interest under Section 50 is payable only on the net cash liability and DIRECT re-computation accordingly per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disputed interest cannot be recovered without proper adjudication under Section 73/74 after a hearing;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 re-determine the demand on the net cash basis, and DROP any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50 (and the proviso to sub-section (1)), Sections 39, 63, 73, 74 of the CGST Act, 2017; Rules 100(2) and 142(1)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Mahadeo Construction Co. v. Union of India, Jharkhand HC, W.P.(T) No. 3517 of 2019, dated 21.04.2020.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Period-wise working of the net cash liability and the interest properly computed thereon.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2026-06-13T08:26:23.186Z</dcterms:created>
  <dcterms:modified xsi:type="dcterms:W3CDTF">2026-06-13T08:26:23.186Z</dcterms:modified>
</cp:coreProperties>
</file>

<file path=docProps/custom.xml><?xml version="1.0" encoding="utf-8"?>
<Properties xmlns="http://schemas.openxmlformats.org/officeDocument/2006/custom-properties" xmlns:vt="http://schemas.openxmlformats.org/officeDocument/2006/docPropsVTypes"/>
</file>