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 explanation under Section 61 to the discrepancy noticed in Form GST ASMT-10 between the outward supplies reported in Form GSTR-1 and the value / number of e-way bills generated, with a reconciliation — ASMT-10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Intimation of discrepancy in Form GST ASMT-10, Reference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statutory provisions are stated as the Company understands them. The basis of the discrepancy (difference between GSTR-1 and the e-way bills generated)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Department has, under Section 61, intimated a discrepancy in Form GST ASMT-10 between the outward supplies reported in the Company’s Form GSTR-1 and the value / number of the e-way bills it generated, and sought an explanation. A difference between GSTR-1 and e-way bills is not, by itself, evidence of suppressed supply: the two serve different purposes and do not move in lock-step. E-way bills are generated for the </w:t>
      </w:r>
      <w:r>
        <w:rPr>
          <w:rFonts w:ascii="Times New Roman" w:cs="Times New Roman" w:eastAsia="Times New Roman" w:hAnsi="Times New Roman"/>
          <w:b/>
          <w:bCs/>
          <w:i w:val="false"/>
          <w:iCs w:val="false"/>
          <w:caps w:val="false"/>
          <w:sz w:val="24"/>
          <w:szCs w:val="24"/>
        </w:rPr>
        <w:t xml:space="preserve">movement of goods</w:t>
      </w:r>
      <w:r>
        <w:rPr>
          <w:rFonts w:ascii="Times New Roman" w:cs="Times New Roman" w:eastAsia="Times New Roman" w:hAnsi="Times New Roman"/>
          <w:b w:val="false"/>
          <w:bCs w:val="false"/>
          <w:i w:val="false"/>
          <w:iCs w:val="false"/>
          <w:caps w:val="false"/>
          <w:sz w:val="24"/>
          <w:szCs w:val="24"/>
        </w:rPr>
        <w:t xml:space="preserve"> — which includes many movements that are not outward taxable supplies (job-work despatches and returns, branch / stock transfers, sales returns, movements of capital goods, and the like) — while GSTR-1 reports outward </w:t>
      </w:r>
      <w:r>
        <w:rPr>
          <w:rFonts w:ascii="Times New Roman" w:cs="Times New Roman" w:eastAsia="Times New Roman" w:hAnsi="Times New Roman"/>
          <w:b/>
          <w:bCs/>
          <w:i w:val="false"/>
          <w:iCs w:val="false"/>
          <w:caps w:val="false"/>
          <w:sz w:val="24"/>
          <w:szCs w:val="24"/>
        </w:rPr>
        <w:t xml:space="preserve">supplies</w:t>
      </w:r>
      <w:r>
        <w:rPr>
          <w:rFonts w:ascii="Times New Roman" w:cs="Times New Roman" w:eastAsia="Times New Roman" w:hAnsi="Times New Roman"/>
          <w:b w:val="false"/>
          <w:bCs w:val="false"/>
          <w:i w:val="false"/>
          <w:iCs w:val="false"/>
          <w:caps w:val="false"/>
          <w:sz w:val="24"/>
          <w:szCs w:val="24"/>
        </w:rPr>
        <w:t xml:space="preserve">; conversely, e-way bills are not required for every supply (services, exempt goods, and consignments below the threshold). The reconciliation furnished explains the difference in full. The explanation being satisfactory, the proceeding ought to be closed in Form GST ASMT-12.</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intimation. </w:t>
      </w:r>
      <w:r>
        <w:rPr>
          <w:rFonts w:ascii="Times New Roman" w:cs="Times New Roman" w:eastAsia="Times New Roman" w:hAnsi="Times New Roman"/>
          <w:b w:val="false"/>
          <w:bCs w:val="false"/>
          <w:i w:val="false"/>
          <w:iCs w:val="false"/>
          <w:caps w:val="false"/>
          <w:sz w:val="24"/>
          <w:szCs w:val="24"/>
        </w:rPr>
        <w:t xml:space="preserve">By Form GST ASMT-10 dated [____], the Department intimated a discrepancy between the outward supplies in the Company’s GSTR-1 and the value / number of the e-way bills generated, and sought the Company’s explanation under Section 61.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reconciliation. </w:t>
      </w:r>
      <w:r>
        <w:rPr>
          <w:rFonts w:ascii="Times New Roman" w:cs="Times New Roman" w:eastAsia="Times New Roman" w:hAnsi="Times New Roman"/>
          <w:b w:val="false"/>
          <w:bCs w:val="false"/>
          <w:i w:val="false"/>
          <w:iCs w:val="false"/>
          <w:caps w:val="false"/>
          <w:sz w:val="24"/>
          <w:szCs w:val="24"/>
        </w:rPr>
        <w:t xml:space="preserve">The Company has prepared a reconciliation (Annexure 1) explaining each element of the difference and tying the figures to its books and records.</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A GSTR-1 versus e-way bill difference is not, by itself, evidence of suppressed supply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GSTR-1 and the e-way bill system measure different things. The e-way bill captures the </w:t>
      </w:r>
      <w:r>
        <w:rPr>
          <w:rFonts w:ascii="Times New Roman" w:cs="Times New Roman" w:eastAsia="Times New Roman" w:hAnsi="Times New Roman"/>
          <w:b w:val="false"/>
          <w:bCs w:val="false"/>
          <w:i/>
          <w:iCs/>
          <w:caps w:val="false"/>
          <w:sz w:val="24"/>
          <w:szCs w:val="24"/>
        </w:rPr>
        <w:t xml:space="preserve">movement of goods</w:t>
      </w:r>
      <w:r>
        <w:rPr>
          <w:rFonts w:ascii="Times New Roman" w:cs="Times New Roman" w:eastAsia="Times New Roman" w:hAnsi="Times New Roman"/>
          <w:b w:val="false"/>
          <w:bCs w:val="false"/>
          <w:i w:val="false"/>
          <w:iCs w:val="false"/>
          <w:caps w:val="false"/>
          <w:sz w:val="24"/>
          <w:szCs w:val="24"/>
        </w:rPr>
        <w:t xml:space="preserve"> of value above the threshold, including movements that are not outward supplies at all — for instance, goods sent for or returned from job work, branch and stock transfers within the same registration or to distinct persons, sales returns, the movement of capital goods or of goods for repair, and movements on a delivery challan. GSTR-1, by contrast, reports outward </w:t>
      </w:r>
      <w:r>
        <w:rPr>
          <w:rFonts w:ascii="Times New Roman" w:cs="Times New Roman" w:eastAsia="Times New Roman" w:hAnsi="Times New Roman"/>
          <w:b w:val="false"/>
          <w:bCs w:val="false"/>
          <w:i/>
          <w:iCs/>
          <w:caps w:val="false"/>
          <w:sz w:val="24"/>
          <w:szCs w:val="24"/>
        </w:rPr>
        <w:t xml:space="preserve">supplies</w:t>
      </w:r>
      <w:r>
        <w:rPr>
          <w:rFonts w:ascii="Times New Roman" w:cs="Times New Roman" w:eastAsia="Times New Roman" w:hAnsi="Times New Roman"/>
          <w:b w:val="false"/>
          <w:bCs w:val="false"/>
          <w:i w:val="false"/>
          <w:iCs w:val="false"/>
          <w:caps w:val="false"/>
          <w:sz w:val="24"/>
          <w:szCs w:val="24"/>
        </w:rPr>
        <w:t xml:space="preserve">. Equally, e-way bills are not generated for every supply: services carry none, exempt goods and consignments below the threshold need none, and certain goods are exempt from the requirement. A numerical difference between the two is therefore expected in the ordinary course and does not, without more, evidence any suppression of outward supply or short payment of tax.</w:t>
      </w:r>
    </w:p>
    <w:p>
      <w:pPr>
        <w:pStyle w:val="Heading2"/>
        <w:spacing w:after="140" w:before="200"/>
      </w:pPr>
      <w:r>
        <w:rPr>
          <w:rFonts w:ascii="Times New Roman" w:cs="Times New Roman" w:eastAsia="Times New Roman" w:hAnsi="Times New Roman"/>
          <w:b/>
          <w:bCs/>
          <w:sz w:val="24"/>
          <w:szCs w:val="24"/>
        </w:rPr>
        <w:t xml:space="preserve">Ground 2: The reconciliation explains the difference; the explanation must be considered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Annexure 1 reconciles the difference item by item — identifying the e-way bills referable to non-supply movements (job work, stock transfers, returns, capital goods), and the supplies (services, exempt or below-threshold) for which no e-way bill was required — and ties the balance to the GSTR-1 and the books. Under Section 61(2), where the explanation furnished is found acceptable, the registered person is to be informed and no further action is to be taken. The Company’s explanation, supported by the reconciliation, ought to be accepted.</w:t>
      </w:r>
    </w:p>
    <w:p>
      <w:pPr>
        <w:pStyle w:val="Heading2"/>
        <w:spacing w:after="140" w:before="200"/>
      </w:pPr>
      <w:r>
        <w:rPr>
          <w:rFonts w:ascii="Times New Roman" w:cs="Times New Roman" w:eastAsia="Times New Roman" w:hAnsi="Times New Roman"/>
          <w:b/>
          <w:bCs/>
          <w:sz w:val="24"/>
          <w:szCs w:val="24"/>
        </w:rPr>
        <w:t xml:space="preserve">Ground 3: No demand can be raised mechanically on the arithmetical difference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demand cannot be founded merely on the arithmetical difference between GSTR-1 and the e-way bills, ignoring the explanation and the books. Section 61 is a scrutiny provision; only if no satisfactory explanation is furnished may the officer proceed under Sections 65/66/67 or 73/74. Where, as here, a full and satisfactory explanation with a reconciliation is on record, the appropriate course is to close the scrutiny by an intimation in Form GST ASMT-12, not to raise a demand.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the explanation and the reconciliation at Annexure 1 as a satisfactory explanation of the GSTR-1 / e-way bill difference under Section 61(2);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CLOSE the scrutiny proceeding by an intimation in Form GST ASMT-12;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REFRAIN from raising any demand on the mere arithmetical difference;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 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61, 65, 66, 67, 73, 74 of the CGST Act, 2017; Rules 99 and 138 of the CGST Rules, 2017 (Forms GST ASMT-10, ASMT-11 and ASMT-12).</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Reconciliation of the outward supplies in GSTR-1 with the e-way bills generated, explaining each element of the difference and tying it to the books.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Form GST ASMT-10.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2026-06-13T08:26:23.221Z</dcterms:created>
  <dcterms:modified xsi:type="dcterms:W3CDTF">2026-06-13T08:26:23.221Z</dcterms:modified>
</cp:coreProperties>
</file>

<file path=docProps/custom.xml><?xml version="1.0" encoding="utf-8"?>
<Properties xmlns="http://schemas.openxmlformats.org/officeDocument/2006/custom-properties" xmlns:vt="http://schemas.openxmlformats.org/officeDocument/2006/docPropsVTypes"/>
</file>