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issued under Section 74(1) alleging mismatch between the input tax credit availed in Form GSTR-3B and Form GSTR-2A, the notice being procedurally invalid, Section 74 being inapplicable, and the credit being supportable under the Board’s own circulars — SCN S.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74(1), S. No. [____] dated [____] (the “Impugned SCN”); amount Rs. 1,23,475 [as per source].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press release and case authority is marked [VERIFY] for a final check before filing. The allegation (ITC mismatch between GSTR-2A and GSTR-3B for the month, with Section 74(1) invoked directly), and the absence of any reference to Rule 142(1) / Form GST DRC-01 in the SCN,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issued directly under Section 74(1), alleges that the input tax credit availed in the Company’s Form GSTR-3B exceeds that reflected in Form GSTR-2A for the month. The notice fails at three independent levels. </w:t>
      </w:r>
      <w:r>
        <w:rPr>
          <w:rFonts w:ascii="Times New Roman" w:cs="Times New Roman" w:eastAsia="Times New Roman" w:hAnsi="Times New Roman"/>
          <w:b/>
          <w:bCs/>
          <w:i w:val="false"/>
          <w:iCs w:val="false"/>
          <w:caps w:val="false"/>
          <w:sz w:val="24"/>
          <w:szCs w:val="24"/>
        </w:rPr>
        <w:t xml:space="preserve">Procedurally</w:t>
      </w:r>
      <w:r>
        <w:rPr>
          <w:rFonts w:ascii="Times New Roman" w:cs="Times New Roman" w:eastAsia="Times New Roman" w:hAnsi="Times New Roman"/>
          <w:b w:val="false"/>
          <w:bCs w:val="false"/>
          <w:i w:val="false"/>
          <w:iCs w:val="false"/>
          <w:caps w:val="false"/>
          <w:sz w:val="24"/>
          <w:szCs w:val="24"/>
        </w:rPr>
        <w:t xml:space="preserve">, it is not issued in Form GST DRC-01 under Rule 142(1) and cites no rule at all, and was not preceded by the intimation contemplated in Form GST DRC-01A. </w:t>
      </w:r>
      <w:r>
        <w:rPr>
          <w:rFonts w:ascii="Times New Roman" w:cs="Times New Roman" w:eastAsia="Times New Roman" w:hAnsi="Times New Roman"/>
          <w:b/>
          <w:bCs/>
          <w:i w:val="false"/>
          <w:iCs w:val="false"/>
          <w:caps w:val="false"/>
          <w:sz w:val="24"/>
          <w:szCs w:val="24"/>
        </w:rPr>
        <w:t xml:space="preserve">Jurisdictionally</w:t>
      </w:r>
      <w:r>
        <w:rPr>
          <w:rFonts w:ascii="Times New Roman" w:cs="Times New Roman" w:eastAsia="Times New Roman" w:hAnsi="Times New Roman"/>
          <w:b w:val="false"/>
          <w:bCs w:val="false"/>
          <w:i w:val="false"/>
          <w:iCs w:val="false"/>
          <w:caps w:val="false"/>
          <w:sz w:val="24"/>
          <w:szCs w:val="24"/>
        </w:rPr>
        <w:t xml:space="preserve">, Section 74 is confined to cases of fraud, wilful misstatement or suppression of facts to evade tax — none of which is alleged with particulars, and a bare arithmetical difference between two statements discloses none of them. </w:t>
      </w:r>
      <w:r>
        <w:rPr>
          <w:rFonts w:ascii="Times New Roman" w:cs="Times New Roman" w:eastAsia="Times New Roman" w:hAnsi="Times New Roman"/>
          <w:b/>
          <w:bCs/>
          <w:i w:val="false"/>
          <w:iCs w:val="false"/>
          <w:caps w:val="false"/>
          <w:sz w:val="24"/>
          <w:szCs w:val="24"/>
        </w:rPr>
        <w:t xml:space="preserve">Substantively</w:t>
      </w:r>
      <w:r>
        <w:rPr>
          <w:rFonts w:ascii="Times New Roman" w:cs="Times New Roman" w:eastAsia="Times New Roman" w:hAnsi="Times New Roman"/>
          <w:b w:val="false"/>
          <w:bCs w:val="false"/>
          <w:i w:val="false"/>
          <w:iCs w:val="false"/>
          <w:caps w:val="false"/>
          <w:sz w:val="24"/>
          <w:szCs w:val="24"/>
        </w:rPr>
        <w:t xml:space="preserve">, a 2A/3B difference is not, in law, a ground to deny credit: the Board’s own circulars prescribe a certification procedure for precisely such differences, which the Company is ready to satisfy, and the High Courts have held that credit cannot be denied solely on the ground of a mismatch. The demand is liable to be dropped.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input tax credit on inward supplies in the month of [____] on the strength of valid tax invoices, after receipt of the supplies and payment to the suppliers including tax through banking channels.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alleged mismatch. </w:t>
      </w:r>
      <w:r>
        <w:rPr>
          <w:rFonts w:ascii="Times New Roman" w:cs="Times New Roman" w:eastAsia="Times New Roman" w:hAnsi="Times New Roman"/>
          <w:b w:val="false"/>
          <w:bCs w:val="false"/>
          <w:i w:val="false"/>
          <w:iCs w:val="false"/>
          <w:caps w:val="false"/>
          <w:sz w:val="24"/>
          <w:szCs w:val="24"/>
        </w:rPr>
        <w:t xml:space="preserve">By the Impugned SCN, the Department alleges that the credit availed in GSTR-3B exceeds the credit reflected in GSTR-2A for the month by Rs. 1,23,475, and invokes Section 74(1) directly.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defects on the face of the notice. </w:t>
      </w:r>
      <w:r>
        <w:rPr>
          <w:rFonts w:ascii="Times New Roman" w:cs="Times New Roman" w:eastAsia="Times New Roman" w:hAnsi="Times New Roman"/>
          <w:b w:val="false"/>
          <w:bCs w:val="false"/>
          <w:i w:val="false"/>
          <w:iCs w:val="false"/>
          <w:caps w:val="false"/>
          <w:sz w:val="24"/>
          <w:szCs w:val="24"/>
        </w:rPr>
        <w:t xml:space="preserve">The Impugned SCN cites no rule, is not stated to be issued in Form GST DRC-01 under Rule 142(1), and was not preceded by any intimation in Form GST DRC-01A. It alleges no fraud, wilful misstatement or suppression with any particulars.</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that any credit is liable to reversal.</w:t>
      </w:r>
    </w:p>
    <w:p>
      <w:pPr>
        <w:pStyle w:val="Heading2"/>
        <w:spacing w:after="140" w:before="200"/>
      </w:pPr>
      <w:r>
        <w:rPr>
          <w:rFonts w:ascii="Times New Roman" w:cs="Times New Roman" w:eastAsia="Times New Roman" w:hAnsi="Times New Roman"/>
          <w:b/>
          <w:bCs/>
          <w:sz w:val="24"/>
          <w:szCs w:val="24"/>
        </w:rPr>
        <w:t xml:space="preserve">Ground 1: The SCN is procedurally invalid — Rule 142(1) / Form GST DRC-01 not followed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74(1) is the charging provision; the notice it contemplates must be served, under Rule 142(1)(a), along with a summary in Form GST DRC-01. The Impugned SCN neither cites Rule 142(1) nor is issued in / accompanied by Form GST DRC-01, and no intimation in Form GST DRC-01A preceded it. A notice issued outside the prescribed statutory form and procedure is invalid; the foundation of the proceeding fails. Reliance is placed on </w:t>
      </w:r>
      <w:r>
        <w:rPr>
          <w:rFonts w:ascii="Times New Roman" w:cs="Times New Roman" w:eastAsia="Times New Roman" w:hAnsi="Times New Roman"/>
          <w:b w:val="false"/>
          <w:bCs w:val="false"/>
          <w:i/>
          <w:iCs/>
          <w:caps w:val="false"/>
          <w:sz w:val="24"/>
          <w:szCs w:val="24"/>
        </w:rPr>
        <w:t xml:space="preserve">Commissioner of Central Excise, Bangalore v. Brindavan Beverages (P) Ltd.</w:t>
      </w:r>
      <w:r>
        <w:rPr>
          <w:rFonts w:ascii="Times New Roman" w:cs="Times New Roman" w:eastAsia="Times New Roman" w:hAnsi="Times New Roman"/>
          <w:b w:val="false"/>
          <w:bCs w:val="false"/>
          <w:i w:val="false"/>
          <w:iCs w:val="false"/>
          <w:caps w:val="false"/>
          <w:sz w:val="24"/>
          <w:szCs w:val="24"/>
        </w:rPr>
        <w:t xml:space="preserve">, (2007) 5 SCC 388 / MANU/SC/2645/2007 [VERIFY]: the show cause notice is the foundation of the case, and a notice lacking the necessary specifics denies the noticee a proper opportunity and vitiates the proceeding.</w:t>
      </w:r>
    </w:p>
    <w:p>
      <w:pPr>
        <w:pStyle w:val="Heading2"/>
        <w:spacing w:after="140" w:before="200"/>
      </w:pPr>
      <w:r>
        <w:rPr>
          <w:rFonts w:ascii="Times New Roman" w:cs="Times New Roman" w:eastAsia="Times New Roman" w:hAnsi="Times New Roman"/>
          <w:b/>
          <w:bCs/>
          <w:sz w:val="24"/>
          <w:szCs w:val="24"/>
        </w:rPr>
        <w:t xml:space="preserve">Ground 2: Section 74 is not invocable — no fraud, wilful misstatement or suppression is alleged or exists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74 applies only where tax has not been paid or credit has been wrongly availed ‘by reason of fraud, or any wilful-misstatement or suppression of facts to evade tax’. These ingredients must be specifically alleged with particulars and established; they are jurisdictional. The Impugned SCN contains no such allegation — it points only to an arithmetical difference between GSTR-2A and GSTR-3B. A difference between two system-generated statements, both filed by or visible to the Department, discloses no concealment, let alone an intent to evade. At the highest, the matter could fall under Section 73; invoked under Section 74, the notice is without jurisdiction, and the extended period and the enhanced penalty are equally unavailable.</w:t>
      </w:r>
    </w:p>
    <w:p>
      <w:pPr>
        <w:pStyle w:val="Heading2"/>
        <w:spacing w:after="140" w:before="200"/>
      </w:pPr>
      <w:r>
        <w:rPr>
          <w:rFonts w:ascii="Times New Roman" w:cs="Times New Roman" w:eastAsia="Times New Roman" w:hAnsi="Times New Roman"/>
          <w:b/>
          <w:bCs/>
          <w:sz w:val="24"/>
          <w:szCs w:val="24"/>
        </w:rPr>
        <w:t xml:space="preserve">Ground 3: A 2A/3B difference is not a ground to deny credit — the Board’s circulars prescribe the procedure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has itself prescribed how a GSTR-2A / GSTR-3B difference is to be dealt with. Circular No. 183/15/2022-GST dated 27.12.2022 [VERIFY] (for FY 2017-18 and 2018-19) directs the proper officer to seek, and act on: (i) where the difference with a supplier exceeds Rs. 5 lakh, a certificate from a Chartered Accountant or Cost Accountant (with UDIN) certifying that the supplies were actually made and the tax paid by the supplier; and (ii) where it is Rs. 5 lakh or below, a certificate from the supplier itself to that effect. Circular No. 193/05/2023-GST dated 17.07.2023 [VERIFY] extends that mechanism to the period 01.04.2019 to 31.12.2021, subject to the Rule 36(4) limits as they stood. The Company is ready and willing to furnish the prescribed certificates and the full documentary trail (invoices, receipt, payment through banking channels, supplier ledgers). The demand, raised without resort to this prescribed procedure, is contrary to the Board’s own instructions, which bind the Department.</w:t>
      </w:r>
    </w:p>
    <w:p>
      <w:pPr>
        <w:pStyle w:val="Heading2"/>
        <w:spacing w:after="140" w:before="200"/>
      </w:pPr>
      <w:r>
        <w:rPr>
          <w:rFonts w:ascii="Times New Roman" w:cs="Times New Roman" w:eastAsia="Times New Roman" w:hAnsi="Times New Roman"/>
          <w:b/>
          <w:bCs/>
          <w:sz w:val="24"/>
          <w:szCs w:val="24"/>
        </w:rPr>
        <w:t xml:space="preserve">Ground 4: For the relevant period, GSTR-2A was not determinative of credit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GSTR-2A is a dynamic, auto-populated facilitation statement; for the period in question it had no determinative force. Rule 36(4) — the first provision restricting credit by reference to supplier-uploaded details — was inserted only with effect from 09.10.2019 [VERIFY], and the statutory condition in Section 16(2)(aa) came into force only on 01.01.2022 [VERIFY]. The Government’s own Press Releases dated 18.10.2018 and 04.05.2018 [VERIFY] clarified that GSTR-2A is for taxpayer facilitation, does not impact the ability to avail credit on self-assessment, and that there shall be no automatic reversal of the buyer’s credit for the seller’s non-payment, recovery being made first from the seller. For the period before these provisions, a 2A-based denial has no statutory foundation at all.</w:t>
      </w:r>
    </w:p>
    <w:p>
      <w:pPr>
        <w:pStyle w:val="Heading2"/>
        <w:spacing w:after="140" w:before="200"/>
      </w:pPr>
      <w:r>
        <w:rPr>
          <w:rFonts w:ascii="Times New Roman" w:cs="Times New Roman" w:eastAsia="Times New Roman" w:hAnsi="Times New Roman"/>
          <w:b/>
          <w:bCs/>
          <w:sz w:val="24"/>
          <w:szCs w:val="24"/>
        </w:rPr>
        <w:t xml:space="preserve">Ground 5: A bona fide recipient cannot be denied credit for the supplier’s default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holds valid tax invoices, received the supplies, and paid its suppliers including tax through banking channels; its burden under Section 155 stands discharged by the documents at Annexures 1–3. Credit cannot be denied to such a bona fide recipient merely because the supplier failed to report or remit: </w:t>
      </w:r>
      <w:r>
        <w:rPr>
          <w:rFonts w:ascii="Times New Roman" w:cs="Times New Roman" w:eastAsia="Times New Roman" w:hAnsi="Times New Roman"/>
          <w:b w:val="false"/>
          <w:bCs w:val="false"/>
          <w:i/>
          <w:iCs/>
          <w:caps w:val="false"/>
          <w:sz w:val="24"/>
          <w:szCs w:val="24"/>
        </w:rPr>
        <w:t xml:space="preserve">Suncraft Energy Pvt. Ltd. v. Assistant Commissioner, State Tax</w:t>
      </w:r>
      <w:r>
        <w:rPr>
          <w:rFonts w:ascii="Times New Roman" w:cs="Times New Roman" w:eastAsia="Times New Roman" w:hAnsi="Times New Roman"/>
          <w:b w:val="false"/>
          <w:bCs w:val="false"/>
          <w:i w:val="false"/>
          <w:iCs w:val="false"/>
          <w:caps w:val="false"/>
          <w:sz w:val="24"/>
          <w:szCs w:val="24"/>
        </w:rPr>
        <w:t xml:space="preserve">, Calcutta HC, MAT 1218 of 2023, 02.08.2023 (SLP(C) Nos. 27827-27828 of 2023 dismissed by the Supreme Court on 14.12.2023 expressly on the low tax effect, not on merits); </w:t>
      </w:r>
      <w:r>
        <w:rPr>
          <w:rFonts w:ascii="Times New Roman" w:cs="Times New Roman" w:eastAsia="Times New Roman" w:hAnsi="Times New Roman"/>
          <w:b w:val="false"/>
          <w:bCs w:val="false"/>
          <w:i/>
          <w:iCs/>
          <w:caps w:val="false"/>
          <w:sz w:val="24"/>
          <w:szCs w:val="24"/>
        </w:rPr>
        <w:t xml:space="preserve">D.Y. Beathel Enterprises v. State Tax Officer</w:t>
      </w:r>
      <w:r>
        <w:rPr>
          <w:rFonts w:ascii="Times New Roman" w:cs="Times New Roman" w:eastAsia="Times New Roman" w:hAnsi="Times New Roman"/>
          <w:b w:val="false"/>
          <w:bCs w:val="false"/>
          <w:i w:val="false"/>
          <w:iCs w:val="false"/>
          <w:caps w:val="false"/>
          <w:sz w:val="24"/>
          <w:szCs w:val="24"/>
        </w:rPr>
        <w:t xml:space="preserve">, Madras HC, W.P.(MD) Nos. 2127 of 2021, 24.02.2021 (recovery must first be directed against the defaulting seller); </w:t>
      </w:r>
      <w:r>
        <w:rPr>
          <w:rFonts w:ascii="Times New Roman" w:cs="Times New Roman" w:eastAsia="Times New Roman" w:hAnsi="Times New Roman"/>
          <w:b w:val="false"/>
          <w:bCs w:val="false"/>
          <w:i/>
          <w:iCs/>
          <w:caps w:val="false"/>
          <w:sz w:val="24"/>
          <w:szCs w:val="24"/>
        </w:rPr>
        <w:t xml:space="preserve">Diya Agencies v. State Tax Officer</w:t>
      </w:r>
      <w:r>
        <w:rPr>
          <w:rFonts w:ascii="Times New Roman" w:cs="Times New Roman" w:eastAsia="Times New Roman" w:hAnsi="Times New Roman"/>
          <w:b w:val="false"/>
          <w:bCs w:val="false"/>
          <w:i w:val="false"/>
          <w:iCs w:val="false"/>
          <w:caps w:val="false"/>
          <w:sz w:val="24"/>
          <w:szCs w:val="24"/>
        </w:rPr>
        <w:t xml:space="preserve">, Kerala HC, WP(C) 29769/2023, 2023:KER:55318, 12.09.2023 (2A non-reflection alone is insufficient; the recipient’s evidence must be examined). The adverse line — </w:t>
      </w:r>
      <w:r>
        <w:rPr>
          <w:rFonts w:ascii="Times New Roman" w:cs="Times New Roman" w:eastAsia="Times New Roman" w:hAnsi="Times New Roman"/>
          <w:b w:val="false"/>
          <w:bCs w:val="false"/>
          <w:i/>
          <w:iCs/>
          <w:caps w:val="false"/>
          <w:sz w:val="24"/>
          <w:szCs w:val="24"/>
        </w:rPr>
        <w:t xml:space="preserve">State of Karnataka v. Ecom Gill Coffee Trading Pvt. Ltd.</w:t>
      </w:r>
      <w:r>
        <w:rPr>
          <w:rFonts w:ascii="Times New Roman" w:cs="Times New Roman" w:eastAsia="Times New Roman" w:hAnsi="Times New Roman"/>
          <w:b w:val="false"/>
          <w:bCs w:val="false"/>
          <w:i w:val="false"/>
          <w:iCs w:val="false"/>
          <w:caps w:val="false"/>
          <w:sz w:val="24"/>
          <w:szCs w:val="24"/>
        </w:rPr>
        <w:t xml:space="preserve">, SC, Civil Appeal No. 230 of 2023, 13.03.2023 (a case under Section 70 of the KVAT Act), and </w:t>
      </w:r>
      <w:r>
        <w:rPr>
          <w:rFonts w:ascii="Times New Roman" w:cs="Times New Roman" w:eastAsia="Times New Roman" w:hAnsi="Times New Roman"/>
          <w:b w:val="false"/>
          <w:bCs w:val="false"/>
          <w:i/>
          <w:iCs/>
          <w:caps w:val="false"/>
          <w:sz w:val="24"/>
          <w:szCs w:val="24"/>
        </w:rPr>
        <w:t xml:space="preserve">Aastha Enterprises v. State of Bihar</w:t>
      </w:r>
      <w:r>
        <w:rPr>
          <w:rFonts w:ascii="Times New Roman" w:cs="Times New Roman" w:eastAsia="Times New Roman" w:hAnsi="Times New Roman"/>
          <w:b w:val="false"/>
          <w:bCs w:val="false"/>
          <w:i w:val="false"/>
          <w:iCs w:val="false"/>
          <w:caps w:val="false"/>
          <w:sz w:val="24"/>
          <w:szCs w:val="24"/>
        </w:rPr>
        <w:t xml:space="preserve">, Patna HC, CWJC No. 10395 of 2023, 18.08.2023 — turns on the recipient failing to prove the genuineness of the transaction, which the Company’s documentary trail here affirmatively establishes.</w:t>
      </w:r>
    </w:p>
    <w:p>
      <w:pPr>
        <w:pStyle w:val="Heading2"/>
        <w:spacing w:after="140" w:before="200"/>
      </w:pPr>
      <w:r>
        <w:rPr>
          <w:rFonts w:ascii="Times New Roman" w:cs="Times New Roman" w:eastAsia="Times New Roman" w:hAnsi="Times New Roman"/>
          <w:b/>
          <w:bCs/>
          <w:sz w:val="24"/>
          <w:szCs w:val="24"/>
        </w:rPr>
        <w:t xml:space="preserve">Ground 6 (without prejudice): No interest on unutilised credit; no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and penalty — a fortiori the Section 74 penalty — cannot attach absent fraud or suppression, which is neither alleged with particulars nor established.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the Impugned SCN procedurally invalid, not having been issued in Form GST DRC-01 under Rule 142(1) nor preceded by Form GST DRC-01A;</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Section 74 is not invocable, no fraud, wilful misstatement or suppression being alleged with particulars or established;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Company to substantiate the credit under Circular No. 183/15/2022-GST and Circular No. 193/05/2023-GST, and ACCEPT the certificates and the documentary trail;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credit cannot be denied solely on a GSTR-2A / GSTR-3B difference, and DROP the demand,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 16(2)(aa), 50, 73, 74, 155 of the CGST Act, 2017; Rules 36(4), 88B and 142(1) of the CGST Rules, 2017 (Forms GST DRC-01A and DRC-01).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183/15/2022-GST dated 27.12.2022; Circular No. 193/05/2023-GST dated 17.07.2023; Press Releases dated 04.05.2018 and 18.10.2018.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CCE, Bangalore v. Brindavan Beverages (P) Ltd., (2007) 5 SCC 388.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Suncraft Energy Pvt. Ltd. (Cal HC, MAT 1218/2023, 02.08.2023; SLP(C) 27827-27828/2023 dismissed 14.12.2023 on low tax effect); D.Y. Beathel Enterprises (Mad HC, W.P.(MD) 2127/2021, 24.02.2021); Diya Agencies (Ker HC, WP(C) 29769/2023, 2023:KER:55318); adverse line distinguished: Ecom Gill (SC, CA 230/2023, 13.03.2023, under the KVAT Act); Aastha Enterprises (Patna HC, CWJC 10395/2023, 18.08.2023).</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Tax invoices and evidence of receipt of the supplies.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Evidence of payment to the suppliers including tax through banking channels; supplier ledgers / confirmations.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CA/CMA certificate(s) with UDIN / supplier certificates under Circulars 183/15/2022-GST and 193/05/2023-GST.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4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2026-06-13T08:26:23.627Z</dcterms:created>
  <dcterms:modified xsi:type="dcterms:W3CDTF">2026-06-13T08:26:23.627Z</dcterms:modified>
</cp:coreProperties>
</file>

<file path=docProps/custom.xml><?xml version="1.0" encoding="utf-8"?>
<Properties xmlns="http://schemas.openxmlformats.org/officeDocument/2006/custom-properties" xmlns:vt="http://schemas.openxmlformats.org/officeDocument/2006/docPropsVTypes"/>
</file>