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intimation / Show Cause Notice under Section 73 alleging that the Company’s payment of tax through Form GST DRC-03 by debit of the Electronic Credit Ledger, instead of the Electronic Cash Ledger, contravenes Sections 41(2) and 49(3), and demanding payment afresh in cash — DRC-01A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Intimation in Form GST DRC-01A / Show Cause Notice under Section 73, No. [____] dated [____] (the “Impugned Notice”); DRC-03 ARN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amendment is marked [VERIFY] for a final check before filing. The allegation (payment of tax in DRC-03 through the credit ledger said to violate Sections 41(2) and 49(3), with a demand to pay afresh in cash) and the provisions reproduced in the source are carried forward.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discharged a tax amount through Form GST DRC-03 by debiting its Electronic Credit Ledger. The Impugned Notice alleges that the payment ought to have been made through the Electronic Cash Ledger, citing Sections 41(2) and 49(3), and demands payment afresh in cash. The demand is contrary to the statute and to the Board’s own clarification. Section 49(4) expressly permits the amount available in the electronic credit ledger to be used for making </w:t>
      </w:r>
      <w:r>
        <w:rPr>
          <w:rFonts w:ascii="Times New Roman" w:cs="Times New Roman" w:eastAsia="Times New Roman" w:hAnsi="Times New Roman"/>
          <w:b/>
          <w:bCs/>
          <w:i w:val="false"/>
          <w:iCs w:val="false"/>
          <w:caps w:val="false"/>
          <w:sz w:val="24"/>
          <w:szCs w:val="24"/>
        </w:rPr>
        <w:t xml:space="preserve">any payment towards output tax</w:t>
      </w:r>
      <w:r>
        <w:rPr>
          <w:rFonts w:ascii="Times New Roman" w:cs="Times New Roman" w:eastAsia="Times New Roman" w:hAnsi="Times New Roman"/>
          <w:b w:val="false"/>
          <w:bCs w:val="false"/>
          <w:i w:val="false"/>
          <w:iCs w:val="false"/>
          <w:caps w:val="false"/>
          <w:sz w:val="24"/>
          <w:szCs w:val="24"/>
        </w:rPr>
        <w:t xml:space="preserve">. The amount paid through DRC-03 was a payment towards output tax; the credit-ledger debit was therefore a lawful discharge. The Board has clarified in terms that any payment towards output tax — whether self-assessed in the return or payable in consequence of any proceeding — can be made by utilisation of the credit ledger, only interest, penalty and fee requiring cash. To demand the tax again in cash, while the credit-ledger debit stands, is to recover the same tax twice.</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payment. </w:t>
      </w:r>
      <w:r>
        <w:rPr>
          <w:rFonts w:ascii="Times New Roman" w:cs="Times New Roman" w:eastAsia="Times New Roman" w:hAnsi="Times New Roman"/>
          <w:b w:val="false"/>
          <w:bCs w:val="false"/>
          <w:i w:val="false"/>
          <w:iCs w:val="false"/>
          <w:caps w:val="false"/>
          <w:sz w:val="24"/>
          <w:szCs w:val="24"/>
        </w:rPr>
        <w:t xml:space="preserve">The Company paid tax of Rs. [____] through Form GST DRC-03 (ARN [____], dated [____]) towards [the ascertained / self-ascertained output tax liability for the period ____], by debit of its Electronic Credit Ledger, sufficient balance being available.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demand. </w:t>
      </w:r>
      <w:r>
        <w:rPr>
          <w:rFonts w:ascii="Times New Roman" w:cs="Times New Roman" w:eastAsia="Times New Roman" w:hAnsi="Times New Roman"/>
          <w:b w:val="false"/>
          <w:bCs w:val="false"/>
          <w:i w:val="false"/>
          <w:iCs w:val="false"/>
          <w:caps w:val="false"/>
          <w:sz w:val="24"/>
          <w:szCs w:val="24"/>
        </w:rPr>
        <w:t xml:space="preserve">By the Impugned Notice, the Department alleges contravention of Sections 41(2) and 49(3) and demands that the same tax be paid afresh through the Electronic Cash Ledger.</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Section 49(4) permits the credit ledger to be used for any payment towards output tax</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49(4) provides that the amount available in the electronic credit ledger may be used for making ‘any payment towards output tax’ under the Act, in the prescribed manner and subject to prescribed restrictions. The amount discharged through DRC-03 was a payment towards </w:t>
      </w:r>
      <w:r>
        <w:rPr>
          <w:rFonts w:ascii="Times New Roman" w:cs="Times New Roman" w:eastAsia="Times New Roman" w:hAnsi="Times New Roman"/>
          <w:b w:val="false"/>
          <w:bCs w:val="false"/>
          <w:i/>
          <w:iCs/>
          <w:caps w:val="false"/>
          <w:sz w:val="24"/>
          <w:szCs w:val="24"/>
        </w:rPr>
        <w:t xml:space="preserve">output tax</w:t>
      </w:r>
      <w:r>
        <w:rPr>
          <w:rFonts w:ascii="Times New Roman" w:cs="Times New Roman" w:eastAsia="Times New Roman" w:hAnsi="Times New Roman"/>
          <w:b w:val="false"/>
          <w:bCs w:val="false"/>
          <w:i w:val="false"/>
          <w:iCs w:val="false"/>
          <w:caps w:val="false"/>
          <w:sz w:val="24"/>
          <w:szCs w:val="24"/>
        </w:rPr>
        <w:t xml:space="preserve"> — tax on the Company’s outward supplies, whether self-ascertained under Section 73(5) or ascertained by the officer. No provision required that payment to be made in cash. The reliance on Section 49(3) is misplaced: it merely describes the uses of the cash ledger; it does not mandate cash for tax. The reliance on Section 41(2) is equally misplaced: that provision concerned the utilisation of provisionally accepted credit for self-assessed output tax (and Section 41 has since been substituted by the Finance Act, 2022 with effect from 01.10.2022 [VERIFY], doing away with the provisional-credit scheme); it nowhere prohibits the use of duly availed credit for a payment towards output tax.</w:t>
      </w:r>
    </w:p>
    <w:p>
      <w:pPr>
        <w:pStyle w:val="Heading2"/>
        <w:spacing w:after="140" w:before="200"/>
      </w:pPr>
      <w:r>
        <w:rPr>
          <w:rFonts w:ascii="Times New Roman" w:cs="Times New Roman" w:eastAsia="Times New Roman" w:hAnsi="Times New Roman"/>
          <w:b/>
          <w:bCs/>
          <w:sz w:val="24"/>
          <w:szCs w:val="24"/>
        </w:rPr>
        <w:t xml:space="preserve">Ground 2: The Board has clarified the point — Circular No. 172/04/2022-GST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 by Circular No. 172/04/2022-GST dated 06.07.2022 [VERIFY], clarified that any payment towards output tax — ‘whether self-assessed in the return or payable as a consequence of any proceeding instituted under the provisions of GST Laws’ — can be made by utilisation of the amount available in the electronic credit ledger; and that, conversely, amounts payable as interest, penalty, fee or tax under reverse charge must be paid through the cash ledger. The Company’s DRC-03 payment of tax through the credit ledger is squarely within the clarification, which binds the Department.</w:t>
      </w:r>
    </w:p>
    <w:p>
      <w:pPr>
        <w:pStyle w:val="Heading2"/>
        <w:spacing w:after="140" w:before="200"/>
      </w:pPr>
      <w:r>
        <w:rPr>
          <w:rFonts w:ascii="Times New Roman" w:cs="Times New Roman" w:eastAsia="Times New Roman" w:hAnsi="Times New Roman"/>
          <w:b/>
          <w:bCs/>
          <w:sz w:val="24"/>
          <w:szCs w:val="24"/>
        </w:rPr>
        <w:t xml:space="preserve">Ground 3: To demand the tax again in cash is double recovery; alternatively, re-credit must accompany any re-payment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credit-ledger debit has discharged the tax; the exchequer holds the value of the credit. To demand the same tax again through the cash ledger, while the debit stands, is to recover the tax twice, which the law does not countenance. If, contrary to the above, any re-payment in cash were directed, the earlier debit must simultaneously be re-credited to the Electronic Credit Ledger (in Form GST PMT-03), failing which the recovery is duplicative and confiscatory.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payment of tax through Form GST DRC-03 by debit of the Electronic Credit Ledger is a lawful discharge under Section 49(4) read with Circular No. 172/04/2022-GST;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demand for payment of the same tax afresh through the Electronic Cash Ledger;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 the alternative, DIRECT that any re-payment be accompanied by simultaneous re-credit of the earlier debit in Form GST PMT-03;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41 (as it stood and as substituted by the Finance Act, 2022 w.e.f. 01.10.2022), 49(3), 49(4), 73 (including sub-section (5)) of the CGST Act, 2017; Rule 142 of the CGST Rules, 2017 (Forms GST DRC-01A, DRC-03); Form GST PMT-03.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172/04/2022-GST dated 06.07.2022 (payment towards output tax may be made through the electronic credit ledger; interest, penalty and fee through the cash ledger).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Form GST DRC-03 (ARN) and the Electronic Credit Ledger extract evidencing the debit.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2026-06-13T08:26:23.807Z</dcterms:created>
  <dcterms:modified xsi:type="dcterms:W3CDTF">2026-06-13T08:26:23.807Z</dcterms:modified>
</cp:coreProperties>
</file>

<file path=docProps/custom.xml><?xml version="1.0" encoding="utf-8"?>
<Properties xmlns="http://schemas.openxmlformats.org/officeDocument/2006/custom-properties" xmlns:vt="http://schemas.openxmlformats.org/officeDocument/2006/docPropsVTypes"/>
</file>