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Show Cause Notice under Section 73(1), issued following an audit under Section 65, proposing denial of input tax credit under Section 16(2)(c) on the basis of a GSTR-2A mismatch, the notice being procedurally defective and the credit being supportable under the Board’s circulars and the settled bona fide-recipient principle — SCN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Audit under Section 65 (Form GST ADT-01 dated [____]; ADT-02 dated [____]); Show Cause Notice under Section 73(1), No. [____] dated [____] (the “Impugned SCN”).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circular, press release and case authority is marked [VERIFY] for a final check before filing. The facts (an audit under Section 65 followed by an SCN under Section 73(1) invoking Section 16(2)(c) on a GSTR-2A mismatch; the absence of any reference to Rule 142(1) / Form GST DRC-01) and the extracts from Brindavan Beverages and Kaur &amp; Singh relied on in the source are preserved.</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Following an audit under Section 65, the Department has issued the Impugned SCN under Section 73(1) proposing to deny the Company’s input tax credit under Section 16(2)(c) because certain suppliers’ invoices are not reflected, or the tax is said not to have been paid, per Form GSTR-2A. The notice is procedurally defective — it is not issued in Form GST DRC-01 under Rule 142(1) — and substantively unsustainable. The Company is a bona fide recipient with the complete documentary trail; GSTR-2A was, for the relevant period, a facilitation statement without determinative force; the Board’s circulars prescribe a certification procedure for precisely such differences, which the Company is ready to satisfy; and the settled principle is that recovery must first be pursued against the defaulting supplier. The demand is liable to be dropped.</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availed input tax credit on inward supplies during [period] on the strength of valid tax invoices, after receipt of the supplies and payment to the suppliers including tax through banking channels.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audit and the SCN. </w:t>
      </w:r>
      <w:r>
        <w:rPr>
          <w:rFonts w:ascii="Times New Roman" w:cs="Times New Roman" w:eastAsia="Times New Roman" w:hAnsi="Times New Roman"/>
          <w:b w:val="false"/>
          <w:bCs w:val="false"/>
          <w:i w:val="false"/>
          <w:iCs w:val="false"/>
          <w:caps w:val="false"/>
          <w:sz w:val="24"/>
          <w:szCs w:val="24"/>
        </w:rPr>
        <w:t xml:space="preserve">An audit under Section 65 was conducted (ADT-01 dated [____]; findings in ADT-02 dated [____]). The Impugned SCN under Section 73(1) followed, proposing denial of credit of Rs. [____] under Section 16(2)(c) on the basis of the GSTR-2A position. The SCN does not state that it is issued in Form GST DRC-01 under Rule 142(1), and cites no rule.</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documentary trail. </w:t>
      </w:r>
      <w:r>
        <w:rPr>
          <w:rFonts w:ascii="Times New Roman" w:cs="Times New Roman" w:eastAsia="Times New Roman" w:hAnsi="Times New Roman"/>
          <w:b w:val="false"/>
          <w:bCs w:val="false"/>
          <w:i w:val="false"/>
          <w:iCs w:val="false"/>
          <w:caps w:val="false"/>
          <w:sz w:val="24"/>
          <w:szCs w:val="24"/>
        </w:rPr>
        <w:t xml:space="preserve">The Company holds, and produces, the tax invoices, the evidence of receipt, the proof of payment including tax through banking channels, and the supplier ledgers (Annexures 1–3).</w:t>
      </w:r>
    </w:p>
    <w:p>
      <w:pPr>
        <w:pStyle w:val="Heading1"/>
        <w:spacing w:after="160" w:before="260"/>
      </w:pPr>
      <w:r>
        <w:rPr>
          <w:rFonts w:ascii="Times New Roman" w:cs="Times New Roman" w:eastAsia="Times New Roman" w:hAnsi="Times New Roman"/>
          <w:b/>
          <w:bCs/>
          <w:caps/>
          <w:sz w:val="26"/>
          <w:szCs w:val="26"/>
        </w:rPr>
        <w:t xml:space="preserve">Grounds / Submissions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Each ground is independently sufficient. The Company DENIES that any credit is liable to reversal.</w:t>
      </w:r>
    </w:p>
    <w:p>
      <w:pPr>
        <w:pStyle w:val="Heading2"/>
        <w:spacing w:after="140" w:before="200"/>
      </w:pPr>
      <w:r>
        <w:rPr>
          <w:rFonts w:ascii="Times New Roman" w:cs="Times New Roman" w:eastAsia="Times New Roman" w:hAnsi="Times New Roman"/>
          <w:b/>
          <w:bCs/>
          <w:sz w:val="24"/>
          <w:szCs w:val="24"/>
        </w:rPr>
        <w:t xml:space="preserve">Ground 1: The SCN is procedurally invalid — Rule 142(1) / Form GST DRC-01 not followed</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A notice under Section 73(1) must be served along with a summary in Form GST DRC-01 under Rule 142(1)(a). The Impugned SCN neither references Rule 142(1) nor is issued in / accompanied by Form GST DRC-01. A notice outside the prescribed form and procedure is invalid, and the proceeding founded on it fails. As held in </w:t>
      </w:r>
      <w:r>
        <w:rPr>
          <w:rFonts w:ascii="Times New Roman" w:cs="Times New Roman" w:eastAsia="Times New Roman" w:hAnsi="Times New Roman"/>
          <w:b w:val="false"/>
          <w:bCs w:val="false"/>
          <w:i/>
          <w:iCs/>
          <w:caps w:val="false"/>
          <w:sz w:val="24"/>
          <w:szCs w:val="24"/>
        </w:rPr>
        <w:t xml:space="preserve">Commissioner of Central Excise, Bangalore v. Brindavan Beverages (P) Ltd.</w:t>
      </w:r>
      <w:r>
        <w:rPr>
          <w:rFonts w:ascii="Times New Roman" w:cs="Times New Roman" w:eastAsia="Times New Roman" w:hAnsi="Times New Roman"/>
          <w:b w:val="false"/>
          <w:bCs w:val="false"/>
          <w:i w:val="false"/>
          <w:iCs w:val="false"/>
          <w:caps w:val="false"/>
          <w:sz w:val="24"/>
          <w:szCs w:val="24"/>
        </w:rPr>
        <w:t xml:space="preserve">, (2007) 5 SCC 388 / MANU/SC/2645/2007 [VERIFY], the show cause notice is the foundation on which the Department must build its case, and vague or unparticularised allegations vitiate the proceeding; and as held in </w:t>
      </w:r>
      <w:r>
        <w:rPr>
          <w:rFonts w:ascii="Times New Roman" w:cs="Times New Roman" w:eastAsia="Times New Roman" w:hAnsi="Times New Roman"/>
          <w:b w:val="false"/>
          <w:bCs w:val="false"/>
          <w:i/>
          <w:iCs/>
          <w:caps w:val="false"/>
          <w:sz w:val="24"/>
          <w:szCs w:val="24"/>
        </w:rPr>
        <w:t xml:space="preserve">Kaur &amp; Singh v. Collector of Central Excise, New Delhi</w:t>
      </w:r>
      <w:r>
        <w:rPr>
          <w:rFonts w:ascii="Times New Roman" w:cs="Times New Roman" w:eastAsia="Times New Roman" w:hAnsi="Times New Roman"/>
          <w:b w:val="false"/>
          <w:bCs w:val="false"/>
          <w:i w:val="false"/>
          <w:iCs w:val="false"/>
          <w:caps w:val="false"/>
          <w:sz w:val="24"/>
          <w:szCs w:val="24"/>
        </w:rPr>
        <w:t xml:space="preserve">, (1997) 6 SCC 759 / 1997 (94) ELT 289 (SC) [VERIFY], the notice must clearly communicate to the addressee the case it is to meet.</w:t>
      </w:r>
    </w:p>
    <w:p>
      <w:pPr>
        <w:pStyle w:val="Heading2"/>
        <w:spacing w:after="140" w:before="200"/>
      </w:pPr>
      <w:r>
        <w:rPr>
          <w:rFonts w:ascii="Times New Roman" w:cs="Times New Roman" w:eastAsia="Times New Roman" w:hAnsi="Times New Roman"/>
          <w:b/>
          <w:bCs/>
          <w:sz w:val="24"/>
          <w:szCs w:val="24"/>
        </w:rPr>
        <w:t xml:space="preserve">Ground 2: The Company is a bona fide recipient; credit cannot be denied for the supplier’s default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has discharged every condition of Section 16(2) within its control: a valid tax invoice, receipt of the supplies, payment to the supplier including tax through banking channels, and furnishing of its return; its burden under Section 155 stands discharged by the documents annexed. Whether the supplier thereafter reported or remitted the tax is beyond the recipient’s control. The settled principle is that recovery must first be pursued against the defaulting supplier: </w:t>
      </w:r>
      <w:r>
        <w:rPr>
          <w:rFonts w:ascii="Times New Roman" w:cs="Times New Roman" w:eastAsia="Times New Roman" w:hAnsi="Times New Roman"/>
          <w:b w:val="false"/>
          <w:bCs w:val="false"/>
          <w:i/>
          <w:iCs/>
          <w:caps w:val="false"/>
          <w:sz w:val="24"/>
          <w:szCs w:val="24"/>
        </w:rPr>
        <w:t xml:space="preserve">Suncraft Energy Pvt. Ltd. v. Assistant Commissioner, State Tax</w:t>
      </w:r>
      <w:r>
        <w:rPr>
          <w:rFonts w:ascii="Times New Roman" w:cs="Times New Roman" w:eastAsia="Times New Roman" w:hAnsi="Times New Roman"/>
          <w:b w:val="false"/>
          <w:bCs w:val="false"/>
          <w:i w:val="false"/>
          <w:iCs w:val="false"/>
          <w:caps w:val="false"/>
          <w:sz w:val="24"/>
          <w:szCs w:val="24"/>
        </w:rPr>
        <w:t xml:space="preserve">, Calcutta HC, MAT 1218 of 2023, 02.08.2023 (SLP(C) Nos. 27827-27828 of 2023 dismissed by the Supreme Court on 14.12.2023 expressly on the low tax effect, not on merits); </w:t>
      </w:r>
      <w:r>
        <w:rPr>
          <w:rFonts w:ascii="Times New Roman" w:cs="Times New Roman" w:eastAsia="Times New Roman" w:hAnsi="Times New Roman"/>
          <w:b w:val="false"/>
          <w:bCs w:val="false"/>
          <w:i/>
          <w:iCs/>
          <w:caps w:val="false"/>
          <w:sz w:val="24"/>
          <w:szCs w:val="24"/>
        </w:rPr>
        <w:t xml:space="preserve">D.Y. Beathel Enterprises v. State Tax Officer</w:t>
      </w:r>
      <w:r>
        <w:rPr>
          <w:rFonts w:ascii="Times New Roman" w:cs="Times New Roman" w:eastAsia="Times New Roman" w:hAnsi="Times New Roman"/>
          <w:b w:val="false"/>
          <w:bCs w:val="false"/>
          <w:i w:val="false"/>
          <w:iCs w:val="false"/>
          <w:caps w:val="false"/>
          <w:sz w:val="24"/>
          <w:szCs w:val="24"/>
        </w:rPr>
        <w:t xml:space="preserve">, Madras HC, W.P.(MD) Nos. 2127 of 2021, 24.02.2021 [VERIFY]; </w:t>
      </w:r>
      <w:r>
        <w:rPr>
          <w:rFonts w:ascii="Times New Roman" w:cs="Times New Roman" w:eastAsia="Times New Roman" w:hAnsi="Times New Roman"/>
          <w:b w:val="false"/>
          <w:bCs w:val="false"/>
          <w:i/>
          <w:iCs/>
          <w:caps w:val="false"/>
          <w:sz w:val="24"/>
          <w:szCs w:val="24"/>
        </w:rPr>
        <w:t xml:space="preserve">Diya Agencies v. State Tax Officer</w:t>
      </w:r>
      <w:r>
        <w:rPr>
          <w:rFonts w:ascii="Times New Roman" w:cs="Times New Roman" w:eastAsia="Times New Roman" w:hAnsi="Times New Roman"/>
          <w:b w:val="false"/>
          <w:bCs w:val="false"/>
          <w:i w:val="false"/>
          <w:iCs w:val="false"/>
          <w:caps w:val="false"/>
          <w:sz w:val="24"/>
          <w:szCs w:val="24"/>
        </w:rPr>
        <w:t xml:space="preserve">, Kerala HC, 2023:KER:55318 [VERIFY]; and the 27th GST Council’s position recorded in the Press Release dated 04.05.2018 [VERIFY] (no automatic reversal of the buyer’s credit on the seller’s non-payment; recovery from the seller, reversal from the buyer only in exceptional collusive situations). The adverse line — </w:t>
      </w:r>
      <w:r>
        <w:rPr>
          <w:rFonts w:ascii="Times New Roman" w:cs="Times New Roman" w:eastAsia="Times New Roman" w:hAnsi="Times New Roman"/>
          <w:b w:val="false"/>
          <w:bCs w:val="false"/>
          <w:i/>
          <w:iCs/>
          <w:caps w:val="false"/>
          <w:sz w:val="24"/>
          <w:szCs w:val="24"/>
        </w:rPr>
        <w:t xml:space="preserve">Ecom Gill</w:t>
      </w:r>
      <w:r>
        <w:rPr>
          <w:rFonts w:ascii="Times New Roman" w:cs="Times New Roman" w:eastAsia="Times New Roman" w:hAnsi="Times New Roman"/>
          <w:b w:val="false"/>
          <w:bCs w:val="false"/>
          <w:i w:val="false"/>
          <w:iCs w:val="false"/>
          <w:caps w:val="false"/>
          <w:sz w:val="24"/>
          <w:szCs w:val="24"/>
        </w:rPr>
        <w:t xml:space="preserve"> (SC, CA 230/2023, 13.03.2023, under the KVAT Act) and </w:t>
      </w:r>
      <w:r>
        <w:rPr>
          <w:rFonts w:ascii="Times New Roman" w:cs="Times New Roman" w:eastAsia="Times New Roman" w:hAnsi="Times New Roman"/>
          <w:b w:val="false"/>
          <w:bCs w:val="false"/>
          <w:i/>
          <w:iCs/>
          <w:caps w:val="false"/>
          <w:sz w:val="24"/>
          <w:szCs w:val="24"/>
        </w:rPr>
        <w:t xml:space="preserve">Aastha Enterprises</w:t>
      </w:r>
      <w:r>
        <w:rPr>
          <w:rFonts w:ascii="Times New Roman" w:cs="Times New Roman" w:eastAsia="Times New Roman" w:hAnsi="Times New Roman"/>
          <w:b w:val="false"/>
          <w:bCs w:val="false"/>
          <w:i w:val="false"/>
          <w:iCs w:val="false"/>
          <w:caps w:val="false"/>
          <w:sz w:val="24"/>
          <w:szCs w:val="24"/>
        </w:rPr>
        <w:t xml:space="preserve"> (Patna HC, CWJC 10395/2023, 18.08.2023) — turns on a recipient failing to prove genuineness, which the Company’s documentary trail affirmatively establishes; there is no allegation of collusion here.</w:t>
      </w:r>
    </w:p>
    <w:p>
      <w:pPr>
        <w:pStyle w:val="Heading2"/>
        <w:spacing w:after="140" w:before="200"/>
      </w:pPr>
      <w:r>
        <w:rPr>
          <w:rFonts w:ascii="Times New Roman" w:cs="Times New Roman" w:eastAsia="Times New Roman" w:hAnsi="Times New Roman"/>
          <w:b/>
          <w:bCs/>
          <w:sz w:val="24"/>
          <w:szCs w:val="24"/>
        </w:rPr>
        <w:t xml:space="preserve">Ground 3: The Board’s circulars prescribe the procedure for 2A differences — the Company will comply</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For differences between the credit availed in GSTR-3B and that reflected in GSTR-2A, the Board has prescribed a verification mechanism: Circular No. 183/15/2022-GST dated 27.12.2022 [VERIFY] (FY 2017-18 and 2018-19) — a CA/CMA certificate with UDIN where the difference with a supplier exceeds Rs. 5 lakh, and the supplier’s own certificate where it is Rs. 5 lakh or below, certifying that the supplies were made and the tax paid; and Circular No. 193/05/2023-GST dated 17.07.2023 [VERIFY] (01.04.2019 to 31.12.2021, subject to Rule 36(4) as it stood). The Company is ready and willing to furnish the prescribed certificates (Annexure 3). A demand raised without resort to the Board’s own mechanism is contrary to instructions binding on the Department.</w:t>
      </w:r>
    </w:p>
    <w:p>
      <w:pPr>
        <w:pStyle w:val="Heading2"/>
        <w:spacing w:after="140" w:before="200"/>
      </w:pPr>
      <w:r>
        <w:rPr>
          <w:rFonts w:ascii="Times New Roman" w:cs="Times New Roman" w:eastAsia="Times New Roman" w:hAnsi="Times New Roman"/>
          <w:b/>
          <w:bCs/>
          <w:sz w:val="24"/>
          <w:szCs w:val="24"/>
        </w:rPr>
        <w:t xml:space="preserve">Ground 4: For the relevant period, GSTR-2A had no determinative force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GSTR-2A is a dynamic, auto-populated facilitation statement. Rule 36(4) took effect only from 09.10.2019 [VERIFY], and Section 16(2)(aa) only from 01.01.2022 [VERIFY]; the Press Release dated 18.10.2018 [VERIFY] confirmed that GSTR-2A does not impact the taxpayer’s ability to avail credit on self-assessment. For periods before these provisions, the 2A position cannot, by itself, found a denial of credit; for later periods, the prescribed limits and the circular mechanism govern — not a flat denial.</w:t>
      </w:r>
    </w:p>
    <w:p>
      <w:pPr>
        <w:pStyle w:val="Heading2"/>
        <w:spacing w:after="140" w:before="200"/>
      </w:pPr>
      <w:r>
        <w:rPr>
          <w:rFonts w:ascii="Times New Roman" w:cs="Times New Roman" w:eastAsia="Times New Roman" w:hAnsi="Times New Roman"/>
          <w:b/>
          <w:bCs/>
          <w:sz w:val="24"/>
          <w:szCs w:val="24"/>
        </w:rPr>
        <w:t xml:space="preserve">Ground 5 (without prejudice): No interest on unutilised credit; no penalty</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Without prejudice, to the extent any disputed credit was not utilised, no interest arises under Section 50(3) read with Rule 88B(3) [VERIFY]; and no penalty is exigible — the Company’s conduct was bona fide, fully documented, and free of any suppression.</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Adjudicating Authority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the Impugned SCN procedurally invalid, not having been issued in Form GST DRC-01 under Rule 142(1);</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the Company a bona fide recipient whose credit cannot be denied for the supplier’s default, recovery lying first against the supplier;</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PERMIT substantiation under Circulars No. 183/15/2022-GST and 193/05/2023-GST and ACCEPT the certificates and documentary trail;</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DROP the demand, interest and penalty;</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Schedule of 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16(2) (including clause (c) and clause (aa)), 50, 65, 73, 155 of the CGST Act, 2017; Rules 36(4), 88B, 142(1) of the CGST Rules, 2017 (Forms GST ADT-01, ADT-02, DRC-01).</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Circular No. 183/15/2022-GST dated 27.12.2022; Circular No. 193/05/2023-GST dated 17.07.2023; Press Releases dated 04.05.2018 and 18.10.2018.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CCE, Bangalore v. Brindavan Beverages (P) Ltd., (2007) 5 SCC 388; Kaur &amp; Singh v. CCE, New Delhi, (1997) 6 SCC 759 / 1997 (94) ELT 289 (SC).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Suncraft Energy (Cal HC, MAT 1218/2023; SLP(C) 27827-27828/2023 dismissed 14.12.2023 on low tax effect); D.Y. Beathel (Mad HC, W.P.(MD) 2127/2021); Diya Agencies (Ker HC, WP(C) 29769/2023, 2023:KER:55318); distinguished: Ecom Gill (SC, CA 230/2023, KVAT); Aastha Enterprises (Patna HC, CWJC 10395/2023, 18.08.2023).</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Tax invoices and evidence of receipt of the supplies.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Proof of payment to the suppliers including tax through banking channels; supplier ledgers.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3 — CA/CMA certificate(s) with UDIN / supplier certificates under Circulars 183/15/2022-GST and 193/05/2023-GST.</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4 — Copies of Form GST ADT-01 / ADT-02 and the Impugned SCN.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2026-06-13T08:26:23.844Z</dcterms:created>
  <dcterms:modified xsi:type="dcterms:W3CDTF">2026-06-13T08:26:23.844Z</dcterms:modified>
</cp:coreProperties>
</file>

<file path=docProps/custom.xml><?xml version="1.0" encoding="utf-8"?>
<Properties xmlns="http://schemas.openxmlformats.org/officeDocument/2006/custom-properties" xmlns:vt="http://schemas.openxmlformats.org/officeDocument/2006/docPropsVTypes"/>
</file>