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communication demanding deposit of interest under Section 50(1) for the late filing of Form GSTR-3B within seven days, failing which recovery under Section 79 is threatened — the interest being disputed and recoverable only after adjudication, and only on the net cash liability — communication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Communication dated [____] (the “Impugned Communication”); interest demanded Rs.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amendment and case authority is marked [VERIFY] for a final check before filing. The facts (a communication demanding interest under Section 50(1) within seven days with the threat of Section 79 recovery) and the source’s submission that a disputed interest demand requires a notice under Section 73 are reproduced.</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Communication demands that the Company deposit interest of Rs. [____] under Section 50(1) for the late filing of Form GSTR-3B within seven days, failing which recovery under Section 79 is threatened. The Company </w:t>
      </w:r>
      <w:r>
        <w:rPr>
          <w:rFonts w:ascii="Times New Roman" w:cs="Times New Roman" w:eastAsia="Times New Roman" w:hAnsi="Times New Roman"/>
          <w:b/>
          <w:bCs/>
          <w:i w:val="false"/>
          <w:iCs w:val="false"/>
          <w:caps w:val="false"/>
          <w:sz w:val="24"/>
          <w:szCs w:val="24"/>
        </w:rPr>
        <w:t xml:space="preserve">disputes</w:t>
      </w:r>
      <w:r>
        <w:rPr>
          <w:rFonts w:ascii="Times New Roman" w:cs="Times New Roman" w:eastAsia="Times New Roman" w:hAnsi="Times New Roman"/>
          <w:b w:val="false"/>
          <w:bCs w:val="false"/>
          <w:i w:val="false"/>
          <w:iCs w:val="false"/>
          <w:caps w:val="false"/>
          <w:sz w:val="24"/>
          <w:szCs w:val="24"/>
        </w:rPr>
        <w:t xml:space="preserve"> the demand — both its basis (it is computed on the gross liability rather than the net cash liability) and its quantum. A disputed interest liability cannot be recovered on the strength of a letter: it must be adjudicated under Section 73 after a proper notice and hearing, and only the adjudicated amount can be recovered. The Company furnishes its net-liability computation, undertakes to pay the amount properly computed, and objects to any coercive recovery without adjudication.</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filed certain Form GSTR-3B returns for [period] after the due date; the liability for those periods was discharged substantially from available input tax credit, the cash component being small.</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demand. </w:t>
      </w:r>
      <w:r>
        <w:rPr>
          <w:rFonts w:ascii="Times New Roman" w:cs="Times New Roman" w:eastAsia="Times New Roman" w:hAnsi="Times New Roman"/>
          <w:b w:val="false"/>
          <w:bCs w:val="false"/>
          <w:i w:val="false"/>
          <w:iCs w:val="false"/>
          <w:caps w:val="false"/>
          <w:sz w:val="24"/>
          <w:szCs w:val="24"/>
        </w:rPr>
        <w:t xml:space="preserve">By the Impugned Communication, the Department demands interest of Rs. [____] under Section 50(1), computed [on the gross liability], to be deposited within seven days, failing which recovery under Section 79 is threatened.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dispute. </w:t>
      </w:r>
      <w:r>
        <w:rPr>
          <w:rFonts w:ascii="Times New Roman" w:cs="Times New Roman" w:eastAsia="Times New Roman" w:hAnsi="Times New Roman"/>
          <w:b w:val="false"/>
          <w:bCs w:val="false"/>
          <w:i w:val="false"/>
          <w:iCs w:val="false"/>
          <w:caps w:val="false"/>
          <w:sz w:val="24"/>
          <w:szCs w:val="24"/>
        </w:rPr>
        <w:t xml:space="preserve">The Company disputes the basis and quantum: on the proviso to Section 50(1), interest is leviable only on the portion of the tax paid by debiting the electronic cash ledger. The Company’s computation on that basis is at Annexure 1.</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Interest is leviable only on the net cash liability — the proviso to Section 50(1)</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By the proviso to Section 50(1) (inserted by the Finance (No. 2) Act, 2019 and given retrospective effect from 1 July 2017 [VERIFY]), interest on the tax declared in a belatedly furnished return is levied only on that portion of the tax paid by debiting the electronic cash ledger — except where the return is furnished after commencement of proceedings under Section 73/74. The demand, computed on the gross liability, is contrary to the proviso and excessive; the correct computation is at Annexure 1.</w:t>
      </w:r>
    </w:p>
    <w:p>
      <w:pPr>
        <w:pStyle w:val="Heading2"/>
        <w:spacing w:after="140" w:before="200"/>
      </w:pPr>
      <w:r>
        <w:rPr>
          <w:rFonts w:ascii="Times New Roman" w:cs="Times New Roman" w:eastAsia="Times New Roman" w:hAnsi="Times New Roman"/>
          <w:b/>
          <w:bCs/>
          <w:sz w:val="24"/>
          <w:szCs w:val="24"/>
        </w:rPr>
        <w:t xml:space="preserve">Ground 2: A disputed interest demand must be adjudicated under Section 73; it cannot be recovered by letter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Where the leviability or the quantum of interest is disputed, the demand must be determined by adjudication — a notice, a reply, a hearing and a reasoned order — and cannot be recovered coercively on a communication. Reliance is placed on </w:t>
      </w:r>
      <w:r>
        <w:rPr>
          <w:rFonts w:ascii="Times New Roman" w:cs="Times New Roman" w:eastAsia="Times New Roman" w:hAnsi="Times New Roman"/>
          <w:b w:val="false"/>
          <w:bCs w:val="false"/>
          <w:i/>
          <w:iCs/>
          <w:caps w:val="false"/>
          <w:sz w:val="24"/>
          <w:szCs w:val="24"/>
        </w:rPr>
        <w:t xml:space="preserve">Mahadeo Construction Co. v. Union of India</w:t>
      </w:r>
      <w:r>
        <w:rPr>
          <w:rFonts w:ascii="Times New Roman" w:cs="Times New Roman" w:eastAsia="Times New Roman" w:hAnsi="Times New Roman"/>
          <w:b w:val="false"/>
          <w:bCs w:val="false"/>
          <w:i w:val="false"/>
          <w:iCs w:val="false"/>
          <w:caps w:val="false"/>
          <w:sz w:val="24"/>
          <w:szCs w:val="24"/>
        </w:rPr>
        <w:t xml:space="preserve">, Jharkhand HC, W.P.(T) No. 3517 of 2019, dated 21.04.2020 [VERIFY]: a disputed interest liability under Section 50 must be adjudicated under Section 73/74, and garnishee / coercive recovery under Section 79 without such adjudication is impermissible. The seven-day demand with the threat of Section 79, bypassing adjudication, is therefore without authority.</w:t>
      </w:r>
    </w:p>
    <w:p>
      <w:pPr>
        <w:spacing w:after="120" w:before="120"/>
        <w:jc w:val="both"/>
      </w:pPr>
      <w:r>
        <w:rPr>
          <w:rFonts w:ascii="Times New Roman" w:cs="Times New Roman" w:eastAsia="Times New Roman" w:hAnsi="Times New Roman"/>
          <w:b/>
          <w:bCs/>
          <w:i/>
          <w:iCs/>
          <w:sz w:val="20"/>
          <w:szCs w:val="20"/>
        </w:rPr>
        <w:t xml:space="preserve">Note (for review): </w:t>
      </w:r>
      <w:r>
        <w:rPr>
          <w:rFonts w:ascii="Times New Roman" w:cs="Times New Roman" w:eastAsia="Times New Roman" w:hAnsi="Times New Roman"/>
          <w:i/>
          <w:iCs/>
          <w:sz w:val="20"/>
          <w:szCs w:val="20"/>
        </w:rPr>
        <w:t xml:space="preserve">Section 75(12) permits recovery, without a separate Section 73 determination, of interest on self-assessed tax remaining unpaid. The Department may invoke it. The answer maintained here is that Section 75(12) presupposes an undisputed, arithmetically self-evident interest on admitted self-assessed tax; where the very basis (gross vs net) and quantum are disputed, the matter falls to adjudication per Mahadeo Construction. A contrary line also exists on cash-ledger deposits: RSB Transmissions (India) Ltd. v. Union of India, Jharkhand HC, 29.08.2022, holds that a deposit in the electronic cash ledger is not ‘payment’ until debited on the filing of the return, so interest can run on the late-filed cash component notwithstanding the deposit; Maansarovar Motors Pvt. Ltd. v. Assistant Commissioner, Madras HC, W.P. No. 4468 of 2020, 29.09.2020, is to the opposite effect. Both lines should be assessed for the jurisdiction before filing, alongside the interplay of Sections 50, 75(12) and 79.</w:t>
      </w:r>
    </w:p>
    <w:p>
      <w:pPr>
        <w:pStyle w:val="Heading2"/>
        <w:spacing w:after="140" w:before="200"/>
      </w:pPr>
      <w:r>
        <w:rPr>
          <w:rFonts w:ascii="Times New Roman" w:cs="Times New Roman" w:eastAsia="Times New Roman" w:hAnsi="Times New Roman"/>
          <w:b/>
          <w:bCs/>
          <w:sz w:val="24"/>
          <w:szCs w:val="24"/>
        </w:rPr>
        <w:t xml:space="preserve">Ground 3: The Company’s undertaking</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does not dispute that interest at the prescribed rate is payable on the net cash component for the actual period of delay. It undertakes to pay the amount per the computation at Annexure 1 [or such amount as may be determined on adjudication], and requests that the computation be verified and the demand corrected accordingly. There is therefore no occasion for coercive recovery; the revenue’s interest is fully protected.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WITHDRAW the seven-day demand and the threat of recovery under Section 79, the interest being disputed and unadjudicated;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RE-COMPUTE the interest on the net cash liability per the proviso to Section 50(1), and VERIFY the computation at Annexure 1;</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If any difference is maintained, ADJUDICATE the same under Section 73 after notice and hearing before any recovery;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50 (including sub-sections (1) and (2) and the proviso), Sections 73, 75(12), 79 of the CGST Act, 2017; Rule 88B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Mahadeo Construction Co. v. Union of India, Jharkhand HC, W.P.(T) No. 3517 of 2019, dated 21.04.2020.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Period-wise computation of interest on the net cash liability.</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Impugned Communication.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2026-06-13T08:30:43.573Z</dcterms:created>
  <dcterms:modified xsi:type="dcterms:W3CDTF">2026-06-13T08:30:43.573Z</dcterms:modified>
</cp:coreProperties>
</file>

<file path=docProps/custom.xml><?xml version="1.0" encoding="utf-8"?>
<Properties xmlns="http://schemas.openxmlformats.org/officeDocument/2006/custom-properties" xmlns:vt="http://schemas.openxmlformats.org/officeDocument/2006/docPropsVTypes"/>
</file>