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communication questioning the utilisation of input tax credit to the extent of 80–90% of the output tax liability in the Company’s Forms GSTR-3B, the communication being outside the statutory machinery and the utilisation being the Company’s statutory right — communication Reference No. 123456 dated 01.01.2021.</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Communication Reference No. 123456 dated 01.01.2021 (the “Impugned Communication”).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The facts (a communication asking why 80–90% of the output liability is discharged through ITC, seeking reasons and documents) are reproduced from the source, its reliance on a Madras High Court “communication is not a notice” authority could not be authenticated on verification and has been de-anchored — the argument now rests on the statutory scheme (Sections 61/65/73/74 and Rule 142), with a counsel placeholder for a verified authority. [VERIFY-UNCONFIRMED]</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Communication asks the Company to explain why 80–90% of its output tax liability in Form GSTR-3B is discharged by utilisation of input tax credit, and to furnish reasons with supporting documents. The communication cites </w:t>
      </w:r>
      <w:r>
        <w:rPr>
          <w:rFonts w:ascii="Times New Roman" w:cs="Times New Roman" w:eastAsia="Times New Roman" w:hAnsi="Times New Roman"/>
          <w:b/>
          <w:bCs/>
          <w:i w:val="false"/>
          <w:iCs w:val="false"/>
          <w:caps w:val="false"/>
          <w:sz w:val="24"/>
          <w:szCs w:val="24"/>
        </w:rPr>
        <w:t xml:space="preserve">no section and no rule</w:t>
      </w:r>
      <w:r>
        <w:rPr>
          <w:rFonts w:ascii="Times New Roman" w:cs="Times New Roman" w:eastAsia="Times New Roman" w:hAnsi="Times New Roman"/>
          <w:b w:val="false"/>
          <w:bCs w:val="false"/>
          <w:i w:val="false"/>
          <w:iCs w:val="false"/>
          <w:caps w:val="false"/>
          <w:sz w:val="24"/>
          <w:szCs w:val="24"/>
        </w:rPr>
        <w:t xml:space="preserve">, and the Act knows no such instrument: an apprehension of wrongly availed credit must travel through Rule 142 — Form GST DRC-01A / DRC-01 — or through scrutiny in Form GST ASMT-10. On substance, the utilisation of available, validly availed credit is the Company’s </w:t>
      </w:r>
      <w:r>
        <w:rPr>
          <w:rFonts w:ascii="Times New Roman" w:cs="Times New Roman" w:eastAsia="Times New Roman" w:hAnsi="Times New Roman"/>
          <w:b/>
          <w:bCs/>
          <w:i w:val="false"/>
          <w:iCs w:val="false"/>
          <w:caps w:val="false"/>
          <w:sz w:val="24"/>
          <w:szCs w:val="24"/>
        </w:rPr>
        <w:t xml:space="preserve">statutory right under Section 49(4)</w:t>
      </w:r>
      <w:r>
        <w:rPr>
          <w:rFonts w:ascii="Times New Roman" w:cs="Times New Roman" w:eastAsia="Times New Roman" w:hAnsi="Times New Roman"/>
          <w:b w:val="false"/>
          <w:bCs w:val="false"/>
          <w:i w:val="false"/>
          <w:iCs w:val="false"/>
          <w:caps w:val="false"/>
          <w:sz w:val="24"/>
          <w:szCs w:val="24"/>
        </w:rPr>
        <w:t xml:space="preserve">; no provision of the Act prescribes a ceiling on the proportion of output tax that may be discharged through credit, save Rule 86B where applicable. A high credit-utilisation ratio is an arithmetic property of the Company’s business model, not an offence. The Company objects to the form of the communication and, without prejudice, places the substantive position on record.</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files its Forms GSTR-1 and GSTR-3B regularly; its output liability is discharged substantially through validly availed input tax credit, with the balance in cash.</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communication. </w:t>
      </w:r>
      <w:r>
        <w:rPr>
          <w:rFonts w:ascii="Times New Roman" w:cs="Times New Roman" w:eastAsia="Times New Roman" w:hAnsi="Times New Roman"/>
          <w:b w:val="false"/>
          <w:bCs w:val="false"/>
          <w:i w:val="false"/>
          <w:iCs w:val="false"/>
          <w:caps w:val="false"/>
          <w:sz w:val="24"/>
          <w:szCs w:val="24"/>
        </w:rPr>
        <w:t xml:space="preserve">By the Impugned Communication, the Department seeks the reasons for the 80–90% credit-utilisation ratio and supporting documents. It cites no provision, is in no prescribed form, and discloses no discrepancy or allegation.</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The communication is outside the statutory machinery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Act provides a complete code for questioning a return or a credit: scrutiny under Section 61 (Form GST ASMT-10, Rule 99), audit under Section 65, and the demand machinery of Sections 73/74 read with Rule 142 (Forms GST DRC-01A and DRC-01). A free-standing communication citing no provision is not an instrument the Act recognises, and creates no obligation: a charge to tax, or a reversal of credit, can be fastened only through that machinery — with the provision, the period and the computation stated, and an opportunity to reply and be heard. The Impugned Communication does none of this; it is informational at best and of no legal consequence, and stands on that footing. [Counsel note: the Madras High Court has, in the line on informational intimations and premature DRC-01A communications, declined to give such communications legal effect; a verified authority from that line is to be inserted before filing. The reference earlier carried to “SLT Cement Marketers, W.P. 12360/2020” could not be authenticated and must be confirmed or substituted. VERIFY-UNCONFIRMED.]</w:t>
      </w:r>
    </w:p>
    <w:p>
      <w:pPr>
        <w:pStyle w:val="Heading2"/>
        <w:spacing w:after="140" w:before="200"/>
      </w:pPr>
      <w:r>
        <w:rPr>
          <w:rFonts w:ascii="Times New Roman" w:cs="Times New Roman" w:eastAsia="Times New Roman" w:hAnsi="Times New Roman"/>
          <w:b/>
          <w:bCs/>
          <w:sz w:val="24"/>
          <w:szCs w:val="24"/>
        </w:rPr>
        <w:t xml:space="preserve">Ground 2: Utilisation of available credit is a statutory right; the Act prescribes no ceiling</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49(4) entitles the registered person to use the amount available in the electronic credit ledger for any payment towards output tax. Section 16 governs </w:t>
      </w:r>
      <w:r>
        <w:rPr>
          <w:rFonts w:ascii="Times New Roman" w:cs="Times New Roman" w:eastAsia="Times New Roman" w:hAnsi="Times New Roman"/>
          <w:b w:val="false"/>
          <w:bCs w:val="false"/>
          <w:i/>
          <w:iCs/>
          <w:caps w:val="false"/>
          <w:sz w:val="24"/>
          <w:szCs w:val="24"/>
        </w:rPr>
        <w:t xml:space="preserve">availment</w:t>
      </w:r>
      <w:r>
        <w:rPr>
          <w:rFonts w:ascii="Times New Roman" w:cs="Times New Roman" w:eastAsia="Times New Roman" w:hAnsi="Times New Roman"/>
          <w:b w:val="false"/>
          <w:bCs w:val="false"/>
          <w:i w:val="false"/>
          <w:iCs w:val="false"/>
          <w:caps w:val="false"/>
          <w:sz w:val="24"/>
          <w:szCs w:val="24"/>
        </w:rPr>
        <w:t xml:space="preserve">; once credit is validly availed, the Act places no percentage cap on its </w:t>
      </w:r>
      <w:r>
        <w:rPr>
          <w:rFonts w:ascii="Times New Roman" w:cs="Times New Roman" w:eastAsia="Times New Roman" w:hAnsi="Times New Roman"/>
          <w:b w:val="false"/>
          <w:bCs w:val="false"/>
          <w:i/>
          <w:iCs/>
          <w:caps w:val="false"/>
          <w:sz w:val="24"/>
          <w:szCs w:val="24"/>
        </w:rPr>
        <w:t xml:space="preserve">utilisation</w:t>
      </w:r>
      <w:r>
        <w:rPr>
          <w:rFonts w:ascii="Times New Roman" w:cs="Times New Roman" w:eastAsia="Times New Roman" w:hAnsi="Times New Roman"/>
          <w:b w:val="false"/>
          <w:bCs w:val="false"/>
          <w:i w:val="false"/>
          <w:iCs w:val="false"/>
          <w:caps w:val="false"/>
          <w:sz w:val="24"/>
          <w:szCs w:val="24"/>
        </w:rPr>
        <w:t xml:space="preserve"> — the only restriction is Rule 86B (inserted with effect from 01.01.2021 by Notification No. 94/2020-Central Tax dated 22.12.2020), which, where it applies, itself permits 99% discharge through credit, and the Company is [within its exceptions / compliant with its 1% cash requirement, as the case may be]. The 80–90% ratio reflects the Company’s cost structure — input-tax-rich procurement against its output margin — and is the natural arithmetic of Sections 16 and 49, not a discrepancy.</w:t>
      </w:r>
    </w:p>
    <w:p>
      <w:pPr>
        <w:pStyle w:val="Heading2"/>
        <w:spacing w:after="140" w:before="200"/>
      </w:pPr>
      <w:r>
        <w:rPr>
          <w:rFonts w:ascii="Times New Roman" w:cs="Times New Roman" w:eastAsia="Times New Roman" w:hAnsi="Times New Roman"/>
          <w:b/>
          <w:bCs/>
          <w:sz w:val="24"/>
          <w:szCs w:val="24"/>
        </w:rPr>
        <w:t xml:space="preserve">Ground 3: Without prejudice — the Company’s record is open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prejudice, the Company has nothing to withhold: its credit is fully documented (invoices, receipt, banking-channel payment, supplier ledgers), and it will furnish a reconciliation under any </w:t>
      </w:r>
      <w:r>
        <w:rPr>
          <w:rFonts w:ascii="Times New Roman" w:cs="Times New Roman" w:eastAsia="Times New Roman" w:hAnsi="Times New Roman"/>
          <w:b w:val="false"/>
          <w:bCs w:val="false"/>
          <w:i/>
          <w:iCs/>
          <w:caps w:val="false"/>
          <w:sz w:val="24"/>
          <w:szCs w:val="24"/>
        </w:rPr>
        <w:t xml:space="preserve">proper</w:t>
      </w:r>
      <w:r>
        <w:rPr>
          <w:rFonts w:ascii="Times New Roman" w:cs="Times New Roman" w:eastAsia="Times New Roman" w:hAnsi="Times New Roman"/>
          <w:b w:val="false"/>
          <w:bCs w:val="false"/>
          <w:i w:val="false"/>
          <w:iCs w:val="false"/>
          <w:caps w:val="false"/>
          <w:sz w:val="24"/>
          <w:szCs w:val="24"/>
        </w:rPr>
        <w:t xml:space="preserve"> instrument — Form GST ASMT-10 or DRC-01A — identifying a specific discrepancy with particulars. What it objects to is a roving, unanchored inquiry into a lawful ratio.</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WITHDRAW the Impugned Communication, the same being outside the statutory machinery;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utilisation of validly availed credit under Section 49(4) is the Company’s statutory right, subject only to Rule 86B where applicable;</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ISSUE, if the Department has a specific discrepancy, the prescribed instrument (Form GST ASMT-10 / DRC-01A) with particulars, to which the Company will respond;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16, 39, 49(4), 61, 73 and 74 of the CGST Act, 2017; Rules 86B, 99 and 142 of the CGST Rules, 2017; Notification No. 94/2020-Central Tax dated 22.12.2020.</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Madras High Court authority that a communication / intimation outside the statutory machinery carries no legal consequence — to be inserted from a verified decision (the reference to ‘SLT Cement Marketers, W.P. 12360/2020’ could not be authenticated). [VERIFY-UNCONFIRMED]</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Copy of the Impugned Communication.</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Period-wise statement of output liability, credit utilisation and cash payment (with Rule 86B position, where applicable).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2026-06-13T08:26:24.707Z</dcterms:created>
  <dcterms:modified xsi:type="dcterms:W3CDTF">2026-06-13T08:26:24.707Z</dcterms:modified>
</cp:coreProperties>
</file>

<file path=docProps/custom.xml><?xml version="1.0" encoding="utf-8"?>
<Properties xmlns="http://schemas.openxmlformats.org/officeDocument/2006/custom-properties" xmlns:vt="http://schemas.openxmlformats.org/officeDocument/2006/docPropsVTypes"/>
</file>