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line="276"/>
        <w:jc w:val="both"/>
      </w:pPr>
      <w:r>
        <w:rPr>
          <w:rFonts w:ascii="Times New Roman" w:cs="Times New Roman" w:eastAsia="Times New Roman" w:hAnsi="Times New Roman"/>
          <w:b w:val="false"/>
          <w:bCs w:val="false"/>
          <w:i w:val="false"/>
          <w:iCs w:val="false"/>
          <w:caps w:val="false"/>
          <w:sz w:val="24"/>
          <w:szCs w:val="24"/>
        </w:rPr>
        <w:t xml:space="preserve">To,</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The Learned Assistant Commissioner / Adjudicating Authority</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[Designation, Ward / Circle / Jurisdiction of the Proper Officer]</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[Office Address]</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Through: </w:t>
      </w:r>
      <w:r>
        <w:rPr>
          <w:rFonts w:ascii="Times New Roman" w:cs="Times New Roman" w:eastAsia="Times New Roman" w:hAnsi="Times New Roman"/>
          <w:b w:val="false"/>
          <w:bCs w:val="false"/>
          <w:i w:val="false"/>
          <w:iCs w:val="false"/>
          <w:caps w:val="false"/>
          <w:sz w:val="24"/>
          <w:szCs w:val="24"/>
        </w:rPr>
        <w:t xml:space="preserve">the common portal and by e-mail / hand delivery</w:t>
      </w:r>
    </w:p>
    <w:p>
      <w:pPr>
        <w:spacing w:after="60" w:line="276"/>
        <w:jc w:val="both"/>
      </w:pPr>
      <w:r>
        <w:rPr>
          <w:rFonts w:ascii="Times New Roman" w:cs="Times New Roman" w:eastAsia="Times New Roman" w:hAnsi="Times New Roman"/>
          <w:b w:val="false"/>
          <w:bCs w:val="false"/>
          <w:i w:val="false"/>
          <w:iCs w:val="false"/>
          <w:caps w:val="false"/>
          <w:sz w:val="24"/>
          <w:szCs w:val="24"/>
        </w:rPr>
        <w:t xml:space="preserve">In the matter of: </w:t>
      </w:r>
      <w:r>
        <w:rPr>
          <w:rFonts w:ascii="Times New Roman" w:cs="Times New Roman" w:eastAsia="Times New Roman" w:hAnsi="Times New Roman"/>
          <w:b/>
          <w:bCs/>
          <w:i w:val="false"/>
          <w:iCs w:val="false"/>
          <w:caps w:val="false"/>
          <w:sz w:val="24"/>
          <w:szCs w:val="24"/>
        </w:rPr>
        <w:t xml:space="preserve">M/s Noticedesk Technologies Private Limited</w:t>
      </w:r>
      <w:r>
        <w:rPr>
          <w:rFonts w:ascii="Times New Roman" w:cs="Times New Roman" w:eastAsia="Times New Roman" w:hAnsi="Times New Roman"/>
          <w:b w:val="false"/>
          <w:bCs w:val="false"/>
          <w:i w:val="false"/>
          <w:iCs w:val="false"/>
          <w:caps w:val="false"/>
          <w:sz w:val="24"/>
          <w:szCs w:val="24"/>
        </w:rPr>
        <w:t xml:space="preserve">  |  GSTIN [____________]  |  [Registered Address]</w:t>
      </w:r>
    </w:p>
    <w:p>
      <w:pPr>
        <w:spacing w:after="60" w:line="276"/>
        <w:jc w:val="both"/>
      </w:pPr>
      <w:r>
        <w:rPr>
          <w:rFonts w:ascii="Times New Roman" w:cs="Times New Roman" w:eastAsia="Times New Roman" w:hAnsi="Times New Roman"/>
          <w:b/>
          <w:bCs/>
          <w:i w:val="false"/>
          <w:iCs w:val="false"/>
          <w:caps w:val="false"/>
          <w:sz w:val="24"/>
          <w:szCs w:val="24"/>
        </w:rPr>
        <w:t xml:space="preserve">Subject: </w:t>
      </w:r>
      <w:r>
        <w:rPr>
          <w:rFonts w:ascii="Times New Roman" w:cs="Times New Roman" w:eastAsia="Times New Roman" w:hAnsi="Times New Roman"/>
          <w:b/>
          <w:bCs/>
          <w:i w:val="false"/>
          <w:iCs w:val="false"/>
          <w:caps w:val="false"/>
          <w:sz w:val="24"/>
          <w:szCs w:val="24"/>
        </w:rPr>
        <w:t xml:space="preserve">Reply to the communication proposing reversal of common input tax credit under Rule 42 on account of the sale of duty credit licences / scrips (Focus / incentive licences) treated as exempt supply, the communication being outside the statutory machinery and the reversal being unsustainable in law — communication dated [____].</w:t>
      </w:r>
    </w:p>
    <w:p>
      <w:pPr>
        <w:spacing w:after="120" w:line="276"/>
        <w:jc w:val="both"/>
      </w:pPr>
      <w:r>
        <w:rPr>
          <w:rFonts w:ascii="Times New Roman" w:cs="Times New Roman" w:eastAsia="Times New Roman" w:hAnsi="Times New Roman"/>
          <w:b/>
          <w:bCs/>
          <w:i w:val="false"/>
          <w:iCs w:val="false"/>
          <w:caps w:val="false"/>
          <w:sz w:val="24"/>
          <w:szCs w:val="24"/>
        </w:rPr>
        <w:t xml:space="preserve">Ref: </w:t>
      </w:r>
      <w:r>
        <w:rPr>
          <w:rFonts w:ascii="Times New Roman" w:cs="Times New Roman" w:eastAsia="Times New Roman" w:hAnsi="Times New Roman"/>
          <w:b w:val="false"/>
          <w:bCs w:val="false"/>
          <w:i w:val="false"/>
          <w:iCs w:val="false"/>
          <w:caps w:val="false"/>
          <w:sz w:val="24"/>
          <w:szCs w:val="24"/>
        </w:rPr>
        <w:t xml:space="preserve">Communication of the Office of the Superintendent dated [____] (the “Impugned Communication”).</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Respected Sir / Madam,</w:t>
      </w:r>
    </w:p>
    <w:p>
      <w:pPr>
        <w:spacing w:after="120"/>
        <w:jc w:val="both"/>
      </w:pPr>
      <w:r>
        <w:rPr>
          <w:rFonts w:ascii="Times New Roman" w:cs="Times New Roman" w:eastAsia="Times New Roman" w:hAnsi="Times New Roman"/>
          <w:b/>
          <w:bCs/>
          <w:i/>
          <w:iCs/>
          <w:sz w:val="20"/>
          <w:szCs w:val="20"/>
        </w:rPr>
        <w:t xml:space="preserve">Drafting note (to be removed before filing): </w:t>
      </w:r>
      <w:r>
        <w:rPr>
          <w:rFonts w:ascii="Times New Roman" w:cs="Times New Roman" w:eastAsia="Times New Roman" w:hAnsi="Times New Roman"/>
          <w:i/>
          <w:iCs/>
          <w:sz w:val="20"/>
          <w:szCs w:val="20"/>
        </w:rPr>
        <w:t xml:space="preserve">Particulars in bold square brackets are placeholders. Every notification and rule amendment is marked [VERIFY] for a final check before filing. The facts (a communication, citing no section or rule, proposing Rule 42 reversal by treating the Company’s sale of duty credit / Focus licences as exempt supply) are reproduced from the source, its reliance on a Madras High Court “communication is not a notice” authority could not be authenticated and has been de-anchored, the argument resting on the statutory scheme with a counsel placeholder. [VERIFY-UNCONFIRMED]</w:t>
      </w:r>
    </w:p>
    <w:p>
      <w:pPr>
        <w:pStyle w:val="Heading1"/>
        <w:spacing w:after="160" w:before="260"/>
      </w:pPr>
      <w:r>
        <w:rPr>
          <w:rFonts w:ascii="Times New Roman" w:cs="Times New Roman" w:eastAsia="Times New Roman" w:hAnsi="Times New Roman"/>
          <w:b/>
          <w:bCs/>
          <w:caps/>
          <w:sz w:val="26"/>
          <w:szCs w:val="26"/>
        </w:rPr>
        <w:t xml:space="preserve">Synopsis</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Impugned Communication proposes that the Company reverse common input tax credit under Rule 42, treating its sale of duty credit licences (Focus / incentive scrips) as exempt supply swelling the exempt-turnover numerator. The communication cites </w:t>
      </w:r>
      <w:r>
        <w:rPr>
          <w:rFonts w:ascii="Times New Roman" w:cs="Times New Roman" w:eastAsia="Times New Roman" w:hAnsi="Times New Roman"/>
          <w:b/>
          <w:bCs/>
          <w:i w:val="false"/>
          <w:iCs w:val="false"/>
          <w:caps w:val="false"/>
          <w:sz w:val="24"/>
          <w:szCs w:val="24"/>
        </w:rPr>
        <w:t xml:space="preserve">no section and no rule</w:t>
      </w:r>
      <w:r>
        <w:rPr>
          <w:rFonts w:ascii="Times New Roman" w:cs="Times New Roman" w:eastAsia="Times New Roman" w:hAnsi="Times New Roman"/>
          <w:b w:val="false"/>
          <w:bCs w:val="false"/>
          <w:i w:val="false"/>
          <w:iCs w:val="false"/>
          <w:caps w:val="false"/>
          <w:sz w:val="24"/>
          <w:szCs w:val="24"/>
        </w:rPr>
        <w:t xml:space="preserve"> and is outside the statutory machinery. On substance the proposal fails twice over. </w:t>
      </w:r>
      <w:r>
        <w:rPr>
          <w:rFonts w:ascii="Times New Roman" w:cs="Times New Roman" w:eastAsia="Times New Roman" w:hAnsi="Times New Roman"/>
          <w:b/>
          <w:bCs/>
          <w:i w:val="false"/>
          <w:iCs w:val="false"/>
          <w:caps w:val="false"/>
          <w:sz w:val="24"/>
          <w:szCs w:val="24"/>
        </w:rPr>
        <w:t xml:space="preserve">First</w:t>
      </w:r>
      <w:r>
        <w:rPr>
          <w:rFonts w:ascii="Times New Roman" w:cs="Times New Roman" w:eastAsia="Times New Roman" w:hAnsi="Times New Roman"/>
          <w:b w:val="false"/>
          <w:bCs w:val="false"/>
          <w:i w:val="false"/>
          <w:iCs w:val="false"/>
          <w:caps w:val="false"/>
          <w:sz w:val="24"/>
          <w:szCs w:val="24"/>
        </w:rPr>
        <w:t xml:space="preserve">, the rules themselves now say the opposite: the value of duty credit scrips is </w:t>
      </w:r>
      <w:r>
        <w:rPr>
          <w:rFonts w:ascii="Times New Roman" w:cs="Times New Roman" w:eastAsia="Times New Roman" w:hAnsi="Times New Roman"/>
          <w:b/>
          <w:bCs/>
          <w:i w:val="false"/>
          <w:iCs w:val="false"/>
          <w:caps w:val="false"/>
          <w:sz w:val="24"/>
          <w:szCs w:val="24"/>
        </w:rPr>
        <w:t xml:space="preserve">expressly excluded</w:t>
      </w:r>
      <w:r>
        <w:rPr>
          <w:rFonts w:ascii="Times New Roman" w:cs="Times New Roman" w:eastAsia="Times New Roman" w:hAnsi="Times New Roman"/>
          <w:b w:val="false"/>
          <w:bCs w:val="false"/>
          <w:i w:val="false"/>
          <w:iCs w:val="false"/>
          <w:caps w:val="false"/>
          <w:sz w:val="24"/>
          <w:szCs w:val="24"/>
        </w:rPr>
        <w:t xml:space="preserve"> from the value of exempt supplies for the purposes of the Rule 42/43 reversal — an exclusion that is clarificatory of the position throughout. </w:t>
      </w:r>
      <w:r>
        <w:rPr>
          <w:rFonts w:ascii="Times New Roman" w:cs="Times New Roman" w:eastAsia="Times New Roman" w:hAnsi="Times New Roman"/>
          <w:b/>
          <w:bCs/>
          <w:i w:val="false"/>
          <w:iCs w:val="false"/>
          <w:caps w:val="false"/>
          <w:sz w:val="24"/>
          <w:szCs w:val="24"/>
        </w:rPr>
        <w:t xml:space="preserve">Second</w:t>
      </w:r>
      <w:r>
        <w:rPr>
          <w:rFonts w:ascii="Times New Roman" w:cs="Times New Roman" w:eastAsia="Times New Roman" w:hAnsi="Times New Roman"/>
          <w:b w:val="false"/>
          <w:bCs w:val="false"/>
          <w:i w:val="false"/>
          <w:iCs w:val="false"/>
          <w:caps w:val="false"/>
          <w:sz w:val="24"/>
          <w:szCs w:val="24"/>
        </w:rPr>
        <w:t xml:space="preserve">, even apart from the exclusion, no identifiable common inputs or input services are consumed in the mere sale of a licence the Company received as an export incentive; there is nothing to apportion. The proposal deserves to be dropped.</w:t>
      </w:r>
    </w:p>
    <w:p>
      <w:pPr>
        <w:pStyle w:val="Heading1"/>
        <w:spacing w:after="160" w:before="260"/>
      </w:pPr>
      <w:r>
        <w:rPr>
          <w:rFonts w:ascii="Times New Roman" w:cs="Times New Roman" w:eastAsia="Times New Roman" w:hAnsi="Times New Roman"/>
          <w:b/>
          <w:bCs/>
          <w:caps/>
          <w:sz w:val="26"/>
          <w:szCs w:val="26"/>
        </w:rPr>
        <w:t xml:space="preserve">Statement of Facts</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The Company. </w:t>
      </w:r>
      <w:r>
        <w:rPr>
          <w:rFonts w:ascii="Times New Roman" w:cs="Times New Roman" w:eastAsia="Times New Roman" w:hAnsi="Times New Roman"/>
          <w:b w:val="false"/>
          <w:bCs w:val="false"/>
          <w:i w:val="false"/>
          <w:iCs w:val="false"/>
          <w:caps w:val="false"/>
          <w:sz w:val="24"/>
          <w:szCs w:val="24"/>
        </w:rPr>
        <w:t xml:space="preserve">M/s Noticedesk Technologies Private Limited, GSTIN [____________], an exporter, receives duty credit licences / scrips ([MEIS / Focus / RoDTEP — specify]) as export incentives, and sold scrips of face value Rs. [____] during [period].</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The treatment. </w:t>
      </w:r>
      <w:r>
        <w:rPr>
          <w:rFonts w:ascii="Times New Roman" w:cs="Times New Roman" w:eastAsia="Times New Roman" w:hAnsi="Times New Roman"/>
          <w:b w:val="false"/>
          <w:bCs w:val="false"/>
          <w:i w:val="false"/>
          <w:iCs w:val="false"/>
          <w:caps w:val="false"/>
          <w:sz w:val="24"/>
          <w:szCs w:val="24"/>
        </w:rPr>
        <w:t xml:space="preserve">The sale of duty credit scrips is exempt from GST with effect from 13.10.2017 by Notification No. 35/2017-Central Tax (Rate) [entry 122A, HSN 4907]; the Company so reported the sales in its returns.</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The proposal. </w:t>
      </w:r>
      <w:r>
        <w:rPr>
          <w:rFonts w:ascii="Times New Roman" w:cs="Times New Roman" w:eastAsia="Times New Roman" w:hAnsi="Times New Roman"/>
          <w:b w:val="false"/>
          <w:bCs w:val="false"/>
          <w:i w:val="false"/>
          <w:iCs w:val="false"/>
          <w:caps w:val="false"/>
          <w:sz w:val="24"/>
          <w:szCs w:val="24"/>
        </w:rPr>
        <w:t xml:space="preserve">By the Impugned Communication, the Department proposes reversal of common credit under Rule 42 by including the scrip-sale value in exempt turnover, computing Rs. [____].</w:t>
      </w:r>
    </w:p>
    <w:p>
      <w:pPr>
        <w:pStyle w:val="Heading1"/>
        <w:spacing w:after="160" w:before="260"/>
      </w:pPr>
      <w:r>
        <w:rPr>
          <w:rFonts w:ascii="Times New Roman" w:cs="Times New Roman" w:eastAsia="Times New Roman" w:hAnsi="Times New Roman"/>
          <w:b/>
          <w:bCs/>
          <w:caps/>
          <w:sz w:val="26"/>
          <w:szCs w:val="26"/>
        </w:rPr>
        <w:t xml:space="preserve">Grounds / Submissions</w:t>
      </w:r>
    </w:p>
    <w:p>
      <w:pPr>
        <w:pStyle w:val="Heading2"/>
        <w:spacing w:after="140" w:before="200"/>
      </w:pPr>
      <w:r>
        <w:rPr>
          <w:rFonts w:ascii="Times New Roman" w:cs="Times New Roman" w:eastAsia="Times New Roman" w:hAnsi="Times New Roman"/>
          <w:b/>
          <w:bCs/>
          <w:sz w:val="24"/>
          <w:szCs w:val="24"/>
        </w:rPr>
        <w:t xml:space="preserve">Ground 1: The communication is outside the statutory machinery</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A proposal to reverse credit must travel through the machinery of the Act — Form GST ASMT-10 under Section 61, or Form GST DRC-01A / DRC-01 under Rule 142 — with the provision, the period and the computation stated. A communication citing nothing is not such an instrument and creates no obligation; it is informational at best and of no legal consequence. The Company objects accordingly, and replies on merits strictly without prejudice. [Counsel note: a verified Madras High Court authority from the informational-intimation line is to be inserted here; the earlier reference to “SLT Cement Marketers, W.P. 12360/2020” could not be authenticated. VERIFY-UNCONFIRMED.]</w:t>
      </w:r>
    </w:p>
    <w:p>
      <w:pPr>
        <w:pStyle w:val="Heading2"/>
        <w:spacing w:after="140" w:before="200"/>
      </w:pPr>
      <w:r>
        <w:rPr>
          <w:rFonts w:ascii="Times New Roman" w:cs="Times New Roman" w:eastAsia="Times New Roman" w:hAnsi="Times New Roman"/>
          <w:b/>
          <w:bCs/>
          <w:sz w:val="24"/>
          <w:szCs w:val="24"/>
        </w:rPr>
        <w:t xml:space="preserve">Ground 2: The value of duty credit scrips is excluded from exempt turnover for Rule 42/43 reversal</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Explanation 1 to Rule 43 — which governs the value of exempt supplies for both Rule 42 and Rule 43 — expressly provides that the value of exempt supply shall not include the </w:t>
      </w:r>
      <w:r>
        <w:rPr>
          <w:rFonts w:ascii="Times New Roman" w:cs="Times New Roman" w:eastAsia="Times New Roman" w:hAnsi="Times New Roman"/>
          <w:b w:val="false"/>
          <w:bCs w:val="false"/>
          <w:i/>
          <w:iCs/>
          <w:caps w:val="false"/>
          <w:sz w:val="24"/>
          <w:szCs w:val="24"/>
        </w:rPr>
        <w:t xml:space="preserve">value of duty credit scrips</w:t>
      </w:r>
      <w:r>
        <w:rPr>
          <w:rFonts w:ascii="Times New Roman" w:cs="Times New Roman" w:eastAsia="Times New Roman" w:hAnsi="Times New Roman"/>
          <w:b w:val="false"/>
          <w:bCs w:val="false"/>
          <w:i w:val="false"/>
          <w:iCs w:val="false"/>
          <w:caps w:val="false"/>
          <w:sz w:val="24"/>
          <w:szCs w:val="24"/>
        </w:rPr>
        <w:t xml:space="preserve">, clause (d) to that effect having been inserted by Notification No. 14/2022-Central Tax dated 05.07.2022. The 47th GST Council recommended the exclusion precisely because treating incentive scrips as exempt turnover distorts the apportionment of genuine common credit. This exclusion has been applied in Kaveri Exports, In re, AAR-Telangana, TSAAR Order No. 12 of 2023 dated 24.05.2023, [2023] 152 taxmann.com 273 (an advance ruling, persuasive in value), holding that after the insertion of clause (d) the value of duty credit scrips is excluded from exempt supply for the purpose of Rule 42. The exclusion is clarificatory and curative — it removes an anomaly, and its benefit extends to the prior periods on first principles [VERIFY the jurisdictional position on retrospectivity]; for periods from 05.07.2022 the exclusion is, in any event, express and absolute. The very foundation of the proposed computation therefore fails.</w:t>
      </w:r>
    </w:p>
    <w:p>
      <w:pPr>
        <w:pStyle w:val="Heading2"/>
        <w:spacing w:after="140" w:before="200"/>
      </w:pPr>
      <w:r>
        <w:rPr>
          <w:rFonts w:ascii="Times New Roman" w:cs="Times New Roman" w:eastAsia="Times New Roman" w:hAnsi="Times New Roman"/>
          <w:b/>
          <w:bCs/>
          <w:sz w:val="24"/>
          <w:szCs w:val="24"/>
        </w:rPr>
        <w:t xml:space="preserve">Ground 3: Even otherwise, no common inputs or input services are consumed in the sale of a scrip</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Rules 42 and 43 apportion </w:t>
      </w:r>
      <w:r>
        <w:rPr>
          <w:rFonts w:ascii="Times New Roman" w:cs="Times New Roman" w:eastAsia="Times New Roman" w:hAnsi="Times New Roman"/>
          <w:b w:val="false"/>
          <w:bCs w:val="false"/>
          <w:i/>
          <w:iCs/>
          <w:caps w:val="false"/>
          <w:sz w:val="24"/>
          <w:szCs w:val="24"/>
        </w:rPr>
        <w:t xml:space="preserve">common</w:t>
      </w:r>
      <w:r>
        <w:rPr>
          <w:rFonts w:ascii="Times New Roman" w:cs="Times New Roman" w:eastAsia="Times New Roman" w:hAnsi="Times New Roman"/>
          <w:b w:val="false"/>
          <w:bCs w:val="false"/>
          <w:i w:val="false"/>
          <w:iCs w:val="false"/>
          <w:caps w:val="false"/>
          <w:sz w:val="24"/>
          <w:szCs w:val="24"/>
        </w:rPr>
        <w:t xml:space="preserve"> credit — credit on inputs and input services used partly for taxable and partly for exempt supplies. The sale of a duty credit scrip — an incentive received, not a product made — consumes no raw material, no job-work, no identifiable input service; at most a trivial brokerage [on which credit, if any, stands reversed / was never availed]. Where no common credit is attributable to the exempt stream, the formula has nothing to operate upon, and a mechanical application of turnover proportions to the Company’s entire credit pool would tax credit that Section 17(2) never disallows. The computation at Annexure 2 demonstrates the nil / de minimis attributable credit.</w:t>
      </w:r>
    </w:p>
    <w:p>
      <w:pPr>
        <w:pStyle w:val="Heading2"/>
        <w:spacing w:after="140" w:before="200"/>
      </w:pPr>
      <w:r>
        <w:rPr>
          <w:rFonts w:ascii="Times New Roman" w:cs="Times New Roman" w:eastAsia="Times New Roman" w:hAnsi="Times New Roman"/>
          <w:b/>
          <w:bCs/>
          <w:sz w:val="24"/>
          <w:szCs w:val="24"/>
        </w:rPr>
        <w:t xml:space="preserve">Ground 4 (without prejudice): Computation, interest and penalty</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Without prejudice, any reversal could operate only on the common credit pool (not total credit), only in the turnover proportion, and only for the periods before 05.07.2022; interest could arise only on credit wrongly availed </w:t>
      </w:r>
      <w:r>
        <w:rPr>
          <w:rFonts w:ascii="Times New Roman" w:cs="Times New Roman" w:eastAsia="Times New Roman" w:hAnsi="Times New Roman"/>
          <w:b w:val="false"/>
          <w:bCs w:val="false"/>
          <w:i/>
          <w:iCs/>
          <w:caps w:val="false"/>
          <w:sz w:val="24"/>
          <w:szCs w:val="24"/>
        </w:rPr>
        <w:t xml:space="preserve">and utilised</w:t>
      </w:r>
      <w:r>
        <w:rPr>
          <w:rFonts w:ascii="Times New Roman" w:cs="Times New Roman" w:eastAsia="Times New Roman" w:hAnsi="Times New Roman"/>
          <w:b w:val="false"/>
          <w:bCs w:val="false"/>
          <w:i w:val="false"/>
          <w:iCs w:val="false"/>
          <w:caps w:val="false"/>
          <w:sz w:val="24"/>
          <w:szCs w:val="24"/>
        </w:rPr>
        <w:t xml:space="preserve"> (Section 50(3) read with Rule 88B(3)), and no penalty is exigible for a position the rules themselves now expressly enact.</w:t>
      </w:r>
    </w:p>
    <w:p>
      <w:pPr>
        <w:pStyle w:val="Heading1"/>
        <w:spacing w:after="160" w:before="260"/>
      </w:pPr>
      <w:r>
        <w:rPr>
          <w:rFonts w:ascii="Times New Roman" w:cs="Times New Roman" w:eastAsia="Times New Roman" w:hAnsi="Times New Roman"/>
          <w:b/>
          <w:bCs/>
          <w:caps/>
          <w:sz w:val="26"/>
          <w:szCs w:val="26"/>
        </w:rPr>
        <w:t xml:space="preserve">Prayer</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Company most respectfully prays that the Proper Officer be pleased to:</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WITHDRAW the Impugned Communication, the same being outside the statutory machinery;</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HOLD that the value of duty credit scrips is excluded from exempt turnover for the Rule 42/43 reversal, and that no common credit is attributable to the sale of the licences;</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DROP the proposed reversal, interest and penalty; in the alternative, ISSUE the prescribed instrument with full computation, to which the Company will respond;</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GRANT a personal hearing through the Authorised Representative before any adverse step; and</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PASS such further or other order as may be just and proper.</w:t>
      </w:r>
    </w:p>
    <w:p>
      <w:pPr>
        <w:spacing w:after="160" w:before="80" w:line="276"/>
        <w:jc w:val="both"/>
      </w:pPr>
      <w:r>
        <w:rPr>
          <w:rFonts w:ascii="Times New Roman" w:cs="Times New Roman" w:eastAsia="Times New Roman" w:hAnsi="Times New Roman"/>
          <w:b w:val="false"/>
          <w:bCs w:val="false"/>
          <w:i w:val="false"/>
          <w:iCs w:val="false"/>
          <w:caps w:val="false"/>
          <w:sz w:val="24"/>
          <w:szCs w:val="24"/>
        </w:rPr>
        <w:t xml:space="preserve">The Company reserves the right to file additional submissions, to produce further documents, and to present oral arguments at the personal hearing. Nothing herein shall be construed as an admission of any kind.</w:t>
      </w:r>
    </w:p>
    <w:p>
      <w:pPr>
        <w:pStyle w:val="Heading1"/>
        <w:spacing w:after="160" w:before="260"/>
      </w:pPr>
      <w:r>
        <w:rPr>
          <w:rFonts w:ascii="Times New Roman" w:cs="Times New Roman" w:eastAsia="Times New Roman" w:hAnsi="Times New Roman"/>
          <w:b/>
          <w:bCs/>
          <w:caps/>
          <w:sz w:val="26"/>
          <w:szCs w:val="26"/>
        </w:rPr>
        <w:t xml:space="preserve">Authorities and Provisions Relied Upon</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Sections 17(2), 17(3), 50(3) and 61 of the CGST Act, 2017; Rules 42, 43 (Explanation 1, including clause (d)), 88B, 99 and 142 of the CGST Rules, 2017.</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Notification No. 35/2017-Central Tax (Rate) dated 13.10.2017 [exemption of duty credit scrips, entry 122A, HSN 4907]; Notification No. 14/2022-Central Tax dated 05.07.2022 [clause (d) to Explanation 1 to Rule 43 — exclusion of the value of duty credit scrips from exempt supplies]; Kaveri Exports, In re, AAR-Telangana, TSAAR Order No. 12 of 2023, 24.05.2023, [2023] 152 taxmann.com 273.</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Madras High Court authority on informational communications carrying no legal consequence — to be inserted from a verified decision (‘SLT Cement Marketers, W.P. 12360/2020’ could not be authenticated). [VERIFY-UNCONFIRMED]</w:t>
      </w:r>
    </w:p>
    <w:p>
      <w:pPr>
        <w:pStyle w:val="Heading1"/>
        <w:spacing w:after="160" w:before="260"/>
      </w:pPr>
      <w:r>
        <w:rPr>
          <w:rFonts w:ascii="Times New Roman" w:cs="Times New Roman" w:eastAsia="Times New Roman" w:hAnsi="Times New Roman"/>
          <w:b/>
          <w:bCs/>
          <w:caps/>
          <w:sz w:val="26"/>
          <w:szCs w:val="26"/>
        </w:rPr>
        <w:t xml:space="preserve">Verification and Declaration</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I, [Name], [Director / Authorised Signatory] of M/s Noticedesk Technologies Private Limited, do hereby solemnly affirm and declare that the contents of the above reply are true and correct to the best of my knowledge and belief, that the documents annexed are true copies of their originals, and that nothing material has been concealed therefrom.</w:t>
      </w:r>
    </w:p>
    <w:p>
      <w:pPr>
        <w:spacing w:after="20" w:before="160" w:line="276"/>
        <w:jc w:val="both"/>
      </w:pPr>
      <w:r>
        <w:rPr>
          <w:rFonts w:ascii="Times New Roman" w:cs="Times New Roman" w:eastAsia="Times New Roman" w:hAnsi="Times New Roman"/>
          <w:b w:val="false"/>
          <w:bCs w:val="false"/>
          <w:i w:val="false"/>
          <w:iCs w:val="false"/>
          <w:caps w:val="false"/>
          <w:sz w:val="24"/>
          <w:szCs w:val="24"/>
        </w:rPr>
        <w:t xml:space="preserve">For and on behalf of</w:t>
      </w:r>
    </w:p>
    <w:p>
      <w:pPr>
        <w:spacing w:after="200" w:line="276"/>
        <w:jc w:val="both"/>
      </w:pPr>
      <w:r>
        <w:rPr>
          <w:rFonts w:ascii="Times New Roman" w:cs="Times New Roman" w:eastAsia="Times New Roman" w:hAnsi="Times New Roman"/>
          <w:b/>
          <w:bCs/>
          <w:i w:val="false"/>
          <w:iCs w:val="false"/>
          <w:caps w:val="false"/>
          <w:sz w:val="24"/>
          <w:szCs w:val="24"/>
        </w:rPr>
        <w:t xml:space="preserve">M/s Noticedesk Technologies Private Limited</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_______________________________</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Authorised Signatory / Director</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Place: Mumbai</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Date: [____]</w:t>
      </w:r>
    </w:p>
    <w:p>
      <w:pPr>
        <w:pStyle w:val="Heading1"/>
        <w:spacing w:after="160" w:before="260"/>
      </w:pPr>
      <w:r>
        <w:rPr>
          <w:rFonts w:ascii="Times New Roman" w:cs="Times New Roman" w:eastAsia="Times New Roman" w:hAnsi="Times New Roman"/>
          <w:b/>
          <w:bCs/>
          <w:caps/>
          <w:sz w:val="26"/>
          <w:szCs w:val="26"/>
        </w:rPr>
        <w:t xml:space="preserve">List of Annexures</w:t>
      </w:r>
    </w:p>
    <w:p>
      <w:pPr>
        <w:pStyle w:val="ListParagraph"/>
        <w:numPr>
          <w:ilvl w:val="0"/>
          <w:numId w:val="5"/>
        </w:numPr>
        <w:spacing w:after="140" w:line="276"/>
        <w:jc w:val="both"/>
      </w:pPr>
      <w:r>
        <w:rPr>
          <w:rFonts w:ascii="Times New Roman" w:cs="Times New Roman" w:eastAsia="Times New Roman" w:hAnsi="Times New Roman"/>
          <w:b w:val="false"/>
          <w:bCs w:val="false"/>
          <w:i w:val="false"/>
          <w:iCs w:val="false"/>
          <w:caps w:val="false"/>
          <w:sz w:val="24"/>
          <w:szCs w:val="24"/>
        </w:rPr>
        <w:t xml:space="preserve">Annexure 1 — Copy of the Impugned Communication.</w:t>
      </w:r>
    </w:p>
    <w:p>
      <w:pPr>
        <w:pStyle w:val="ListParagraph"/>
        <w:numPr>
          <w:ilvl w:val="0"/>
          <w:numId w:val="5"/>
        </w:numPr>
        <w:spacing w:after="140" w:line="276"/>
        <w:jc w:val="both"/>
      </w:pPr>
      <w:r>
        <w:rPr>
          <w:rFonts w:ascii="Times New Roman" w:cs="Times New Roman" w:eastAsia="Times New Roman" w:hAnsi="Times New Roman"/>
          <w:b w:val="false"/>
          <w:bCs w:val="false"/>
          <w:i w:val="false"/>
          <w:iCs w:val="false"/>
          <w:caps w:val="false"/>
          <w:sz w:val="24"/>
          <w:szCs w:val="24"/>
        </w:rPr>
        <w:t xml:space="preserve">Annexure 2 — Computation: scrip sales, credit pool, common-credit analysis (nil / de minimis attribution).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60"/>
      </w:pPr>
    </w:lvl>
  </w:abstractNum>
  <w:abstractNum w:abstractNumId="3" w15:restartNumberingAfterBreak="0">
    <w:multiLevelType w:val="hybridMultilevel"/>
    <w:lvl w:ilvl="0" w15:tentative="1">
      <w:start w:val="1"/>
      <w:numFmt w:val="lowerLetter"/>
      <w:lvlText w:val="(%1)"/>
      <w:lvlJc w:val="left"/>
      <w:pPr>
        <w:ind w:left="1080" w:hanging="420"/>
      </w:pPr>
    </w:lvl>
  </w:abstractNum>
  <w:abstractNum w:abstractNumId="4" w15:restartNumberingAfterBreak="0">
    <w:multiLevelType w:val="hybridMultilevel"/>
    <w:lvl w:ilvl="0" w15:tentative="1">
      <w:start w:val="1"/>
      <w:numFmt w:val="lowerLetter"/>
      <w:lvlText w:val="(%1)"/>
      <w:lvlJc w:val="left"/>
      <w:pPr>
        <w:ind w:left="1080" w:hanging="420"/>
      </w:pPr>
    </w:lvl>
  </w:abstractNum>
  <w:abstractNum w:abstractNumId="5" w15:restartNumberingAfterBreak="0">
    <w:multiLevelType w:val="hybridMultilevel"/>
    <w:lvl w:ilvl="0" w15:tentative="1">
      <w:start w:val="1"/>
      <w:numFmt w:val="lowerLetter"/>
      <w:lvlText w:val="(%1)"/>
      <w:lvlJc w:val="left"/>
      <w:pPr>
        <w:ind w:left="1080" w:hanging="420"/>
      </w:pPr>
    </w:lvl>
  </w:abstractNum>
  <w:abstractNum w:abstractNumId="6" w15:restartNumberingAfterBreak="0">
    <w:multiLevelType w:val="hybridMultilevel"/>
    <w:lvl w:ilvl="0" w15:tentative="1">
      <w:start w:val="1"/>
      <w:numFmt w:val="decimal"/>
      <w:lvlText w:val="%1."/>
      <w:lvlJc w:val="left"/>
      <w:pPr>
        <w:ind w:left="600" w:hanging="360"/>
      </w:pPr>
    </w:lvl>
  </w:abstractNum>
  <w:abstractNum w:abstractNumId="7" w15:restartNumberingAfterBreak="0">
    <w:multiLevelType w:val="hybridMultilevel"/>
    <w:lvl w:ilvl="0" w15:tentative="1">
      <w:start w:val="1"/>
      <w:numFmt w:val="decimal"/>
      <w:lvlText w:val="%1."/>
      <w:lvlJc w:val="left"/>
      <w:pPr>
        <w:ind w:left="600" w:hanging="360"/>
      </w:pPr>
    </w:lvl>
  </w:abstractNum>
  <w:abstractNum w:abstractNumId="8" w15:restartNumberingAfterBreak="0">
    <w:multiLevelType w:val="hybridMultilevel"/>
    <w:lvl w:ilvl="0" w15:tentative="1">
      <w:start w:val="1"/>
      <w:numFmt w:val="decimal"/>
      <w:lvlText w:val="%1."/>
      <w:lvlJc w:val="left"/>
      <w:pPr>
        <w:ind w:left="600" w:hanging="360"/>
      </w:pPr>
    </w:lvl>
  </w:abstractNum>
  <w:abstractNum w:abstractNumId="9"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2"/>
    <w:lvlOverride w:ilvl="0">
      <w:startOverride w:val="1"/>
    </w:lvlOverride>
  </w:num>
  <w:num w:numId="3">
    <w:abstractNumId w:val="6"/>
    <w:lvlOverride w:ilvl="0">
      <w:startOverride w:val="1"/>
    </w:lvlOverride>
  </w:num>
  <w:num w:numId="4">
    <w:abstractNumId w:val="7"/>
    <w:lvlOverride w:ilvl="0">
      <w:startOverride w:val="1"/>
    </w:lvlOverride>
  </w:num>
  <w:num w:numId="5">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6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140" w:before="20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2026-06-13T08:26:24.875Z</dcterms:created>
  <dcterms:modified xsi:type="dcterms:W3CDTF">2026-06-13T08:26:24.875Z</dcterms:modified>
</cp:coreProperties>
</file>

<file path=docProps/custom.xml><?xml version="1.0" encoding="utf-8"?>
<Properties xmlns="http://schemas.openxmlformats.org/officeDocument/2006/custom-properties" xmlns:vt="http://schemas.openxmlformats.org/officeDocument/2006/docPropsVTypes"/>
</file>