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Explanation in Form GST ASMT-11 to the notice in Form GST ASMT-10 under Section 61 read with Rule 99, on the alleged discrepancy between the value of e-way bills for inward supplies and the taxable value declared in Form GSTR-3B for FY 2020-21 — the comparison being conceptually misconceived and fully reconciled — ASMT-10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Notice in Form GST ASMT-10 dated [____] under Section 61 of the CGST / Bihar GST Act read with Rule 99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facts (an ASMT-10 for FY 2020-21 comparing inward e-way bill values with the taxable value in GSTR-3B) and the extracts of Section 61 and Rule 99 reproduced in the source are preserved in substance.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treats the difference between (i) the aggregate value of </w:t>
      </w:r>
      <w:r>
        <w:rPr>
          <w:rFonts w:ascii="Times New Roman" w:cs="Times New Roman" w:eastAsia="Times New Roman" w:hAnsi="Times New Roman"/>
          <w:b/>
          <w:bCs/>
          <w:i w:val="false"/>
          <w:iCs w:val="false"/>
          <w:caps w:val="false"/>
          <w:sz w:val="24"/>
          <w:szCs w:val="24"/>
        </w:rPr>
        <w:t xml:space="preserve">e-way bills generated for the Company’s inward supplies</w:t>
      </w:r>
      <w:r>
        <w:rPr>
          <w:rFonts w:ascii="Times New Roman" w:cs="Times New Roman" w:eastAsia="Times New Roman" w:hAnsi="Times New Roman"/>
          <w:b w:val="false"/>
          <w:bCs w:val="false"/>
          <w:i w:val="false"/>
          <w:iCs w:val="false"/>
          <w:caps w:val="false"/>
          <w:sz w:val="24"/>
          <w:szCs w:val="24"/>
        </w:rPr>
        <w:t xml:space="preserve"> and (ii) the </w:t>
      </w:r>
      <w:r>
        <w:rPr>
          <w:rFonts w:ascii="Times New Roman" w:cs="Times New Roman" w:eastAsia="Times New Roman" w:hAnsi="Times New Roman"/>
          <w:b/>
          <w:bCs/>
          <w:i w:val="false"/>
          <w:iCs w:val="false"/>
          <w:caps w:val="false"/>
          <w:sz w:val="24"/>
          <w:szCs w:val="24"/>
        </w:rPr>
        <w:t xml:space="preserve">taxable value declared in the Company’s GSTR-3B</w:t>
      </w:r>
      <w:r>
        <w:rPr>
          <w:rFonts w:ascii="Times New Roman" w:cs="Times New Roman" w:eastAsia="Times New Roman" w:hAnsi="Times New Roman"/>
          <w:b w:val="false"/>
          <w:bCs w:val="false"/>
          <w:i w:val="false"/>
          <w:iCs w:val="false"/>
          <w:caps w:val="false"/>
          <w:sz w:val="24"/>
          <w:szCs w:val="24"/>
        </w:rPr>
        <w:t xml:space="preserve"> for FY 2020-21 as a discrepancy requiring explanation. The comparison is misconceived at its root: the GSTR-3B taxable value is the Company’s </w:t>
      </w:r>
      <w:r>
        <w:rPr>
          <w:rFonts w:ascii="Times New Roman" w:cs="Times New Roman" w:eastAsia="Times New Roman" w:hAnsi="Times New Roman"/>
          <w:b w:val="false"/>
          <w:bCs w:val="false"/>
          <w:i/>
          <w:iCs/>
          <w:caps w:val="false"/>
          <w:sz w:val="24"/>
          <w:szCs w:val="24"/>
        </w:rPr>
        <w:t xml:space="preserve">outward</w:t>
      </w:r>
      <w:r>
        <w:rPr>
          <w:rFonts w:ascii="Times New Roman" w:cs="Times New Roman" w:eastAsia="Times New Roman" w:hAnsi="Times New Roman"/>
          <w:b w:val="false"/>
          <w:bCs w:val="false"/>
          <w:i w:val="false"/>
          <w:iCs w:val="false"/>
          <w:caps w:val="false"/>
          <w:sz w:val="24"/>
          <w:szCs w:val="24"/>
        </w:rPr>
        <w:t xml:space="preserve"> turnover, while inward e-way bills measure goods </w:t>
      </w:r>
      <w:r>
        <w:rPr>
          <w:rFonts w:ascii="Times New Roman" w:cs="Times New Roman" w:eastAsia="Times New Roman" w:hAnsi="Times New Roman"/>
          <w:b w:val="false"/>
          <w:bCs w:val="false"/>
          <w:i/>
          <w:iCs/>
          <w:caps w:val="false"/>
          <w:sz w:val="24"/>
          <w:szCs w:val="24"/>
        </w:rPr>
        <w:t xml:space="preserve">received</w:t>
      </w:r>
      <w:r>
        <w:rPr>
          <w:rFonts w:ascii="Times New Roman" w:cs="Times New Roman" w:eastAsia="Times New Roman" w:hAnsi="Times New Roman"/>
          <w:b w:val="false"/>
          <w:bCs w:val="false"/>
          <w:i w:val="false"/>
          <w:iCs w:val="false"/>
          <w:caps w:val="false"/>
          <w:sz w:val="24"/>
          <w:szCs w:val="24"/>
        </w:rPr>
        <w:t xml:space="preserve"> — two different sides of the business that no provision equates. The e-way bill, a logistics document under Rule 138, also systematically overstates commercial purchases: it captures stock transfers, job-work movements under delivery challans, sales returns, capital goods, exempt and non-GST inward supplies, cancelled and duplicated bills, and multi-leg movements — none of which is taxable outward turnover. The reconciliation at Annexure 1 accounts for the entire difference. The explanation merits acceptance under Section 61(2).</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filed all its GSTR-1 and GSTR-3B returns for FY 2020-21; the outward turnover declared reconciles with GSTR-1, the books and Form GSTR-9 [where filed].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alleged discrepancy. </w:t>
      </w:r>
      <w:r>
        <w:rPr>
          <w:rFonts w:ascii="Times New Roman" w:cs="Times New Roman" w:eastAsia="Times New Roman" w:hAnsi="Times New Roman"/>
          <w:b w:val="false"/>
          <w:bCs w:val="false"/>
          <w:i w:val="false"/>
          <w:iCs w:val="false"/>
          <w:caps w:val="false"/>
          <w:sz w:val="24"/>
          <w:szCs w:val="24"/>
        </w:rPr>
        <w:t xml:space="preserve">The Impugned Notice quantifies inward e-way bills at Rs. [____] against a GSTR-3B taxable value of Rs. [____], and seeks an explanation for the difference of Rs. [____].</w:t>
      </w:r>
    </w:p>
    <w:p>
      <w:pPr>
        <w:pStyle w:val="Heading1"/>
        <w:spacing w:after="160" w:before="260"/>
      </w:pPr>
      <w:r>
        <w:rPr>
          <w:rFonts w:ascii="Times New Roman" w:cs="Times New Roman" w:eastAsia="Times New Roman" w:hAnsi="Times New Roman"/>
          <w:b/>
          <w:bCs/>
          <w:caps/>
          <w:sz w:val="26"/>
          <w:szCs w:val="26"/>
        </w:rPr>
        <w:t xml:space="preserve">Explanation / Submissions</w:t>
      </w:r>
    </w:p>
    <w:p>
      <w:pPr>
        <w:pStyle w:val="Heading2"/>
        <w:spacing w:after="140" w:before="200"/>
      </w:pPr>
      <w:r>
        <w:rPr>
          <w:rFonts w:ascii="Times New Roman" w:cs="Times New Roman" w:eastAsia="Times New Roman" w:hAnsi="Times New Roman"/>
          <w:b/>
          <w:bCs/>
          <w:sz w:val="24"/>
          <w:szCs w:val="24"/>
        </w:rPr>
        <w:t xml:space="preserve">Submission 1: The two figures are not comparable — inward movement is not outward turnover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61 scrutiny verifies the </w:t>
      </w:r>
      <w:r>
        <w:rPr>
          <w:rFonts w:ascii="Times New Roman" w:cs="Times New Roman" w:eastAsia="Times New Roman" w:hAnsi="Times New Roman"/>
          <w:b w:val="false"/>
          <w:bCs w:val="false"/>
          <w:i/>
          <w:iCs/>
          <w:caps w:val="false"/>
          <w:sz w:val="24"/>
          <w:szCs w:val="24"/>
        </w:rPr>
        <w:t xml:space="preserve">correctness of the return</w:t>
      </w:r>
      <w:r>
        <w:rPr>
          <w:rFonts w:ascii="Times New Roman" w:cs="Times New Roman" w:eastAsia="Times New Roman" w:hAnsi="Times New Roman"/>
          <w:b w:val="false"/>
          <w:bCs w:val="false"/>
          <w:i w:val="false"/>
          <w:iCs w:val="false"/>
          <w:caps w:val="false"/>
          <w:sz w:val="24"/>
          <w:szCs w:val="24"/>
        </w:rPr>
        <w:t xml:space="preserve">. The taxable value in GSTR-3B (Table 3.1) is the value of the Company’s outward supplies; the e-way bills cited are for </w:t>
      </w:r>
      <w:r>
        <w:rPr>
          <w:rFonts w:ascii="Times New Roman" w:cs="Times New Roman" w:eastAsia="Times New Roman" w:hAnsi="Times New Roman"/>
          <w:b w:val="false"/>
          <w:bCs w:val="false"/>
          <w:i/>
          <w:iCs/>
          <w:caps w:val="false"/>
          <w:sz w:val="24"/>
          <w:szCs w:val="24"/>
        </w:rPr>
        <w:t xml:space="preserve">inward</w:t>
      </w:r>
      <w:r>
        <w:rPr>
          <w:rFonts w:ascii="Times New Roman" w:cs="Times New Roman" w:eastAsia="Times New Roman" w:hAnsi="Times New Roman"/>
          <w:b w:val="false"/>
          <w:bCs w:val="false"/>
          <w:i w:val="false"/>
          <w:iCs w:val="false"/>
          <w:caps w:val="false"/>
          <w:sz w:val="24"/>
          <w:szCs w:val="24"/>
        </w:rPr>
        <w:t xml:space="preserve"> movements. A trader’s or manufacturer’s outward turnover in a year bears no fixed arithmetic relation to its inward receipts in the same year — opening and closing stock, value addition, capital procurement and exempt inputs all intervene. The premise that the two must match discloses no discrepancy ‘in the return’; it compares the return with something the return never declares.</w:t>
      </w:r>
    </w:p>
    <w:p>
      <w:pPr>
        <w:pStyle w:val="Heading2"/>
        <w:spacing w:after="140" w:before="200"/>
      </w:pPr>
      <w:r>
        <w:rPr>
          <w:rFonts w:ascii="Times New Roman" w:cs="Times New Roman" w:eastAsia="Times New Roman" w:hAnsi="Times New Roman"/>
          <w:b/>
          <w:bCs/>
          <w:sz w:val="24"/>
          <w:szCs w:val="24"/>
        </w:rPr>
        <w:t xml:space="preserve">Submission 2: The e-way bill data overstates even the inward side — the reconciliation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as a measure of purchases, the e-way bill aggregate is inflated by entries that are not commercial inward supplies at all: (i) stock / branch transfers to the Company’s own premises; (ii) job-work movements under delivery challans (Rule 45), both directions; (iii) sales returns received back; (iv) capital goods; (v) exempt and non-GST inward supplies; (vi) e-way bills cancelled, rejected or expired without movement; (vii) duplicated bills for the same consignment (multi-vehicle, trans-shipment, Part-B regenerations); and (viii) bills of other periods spilling across the cut-off. The item-wise reconciliation at Annexure 1 classifies every e-way bill of FY 2020-21 under these heads and ties the residue to the purchase register and GSTR-2A — leaving </w:t>
      </w:r>
      <w:r>
        <w:rPr>
          <w:rFonts w:ascii="Times New Roman" w:cs="Times New Roman" w:eastAsia="Times New Roman" w:hAnsi="Times New Roman"/>
          <w:b/>
          <w:bCs/>
          <w:i w:val="false"/>
          <w:iCs w:val="false"/>
          <w:caps w:val="false"/>
          <w:sz w:val="24"/>
          <w:szCs w:val="24"/>
        </w:rPr>
        <w:t xml:space="preserve">no unexplained difference</w:t>
      </w:r>
      <w:r>
        <w:rPr>
          <w:rFonts w:ascii="Times New Roman" w:cs="Times New Roman" w:eastAsia="Times New Roman" w:hAnsi="Times New Roman"/>
          <w:b w:val="false"/>
          <w:bCs w:val="false"/>
          <w:i w:val="false"/>
          <w:iCs w:val="false"/>
          <w:caps w:val="false"/>
          <w:sz w:val="24"/>
          <w:szCs w:val="24"/>
        </w:rPr>
        <w:t xml:space="preserve">.</w:t>
      </w:r>
    </w:p>
    <w:p>
      <w:pPr>
        <w:pStyle w:val="Heading2"/>
        <w:spacing w:after="140" w:before="200"/>
      </w:pPr>
      <w:r>
        <w:rPr>
          <w:rFonts w:ascii="Times New Roman" w:cs="Times New Roman" w:eastAsia="Times New Roman" w:hAnsi="Times New Roman"/>
          <w:b/>
          <w:bCs/>
          <w:sz w:val="24"/>
          <w:szCs w:val="24"/>
        </w:rPr>
        <w:t xml:space="preserve">Submission 3: Third-party portal data cannot, without more, found a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E-way bill data is a logistics dataset, generated by suppliers and transporters as much as by the Company; it is a starting point for verification, not a charging measure. A demand can rest only on a determination under Sections 73/74 on cogent material establishing suppressed outward supply — not on an arithmetic of two incomparable aggregates. The Company has produced its books, registers and reconciliation; nothing more remains unexplained.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ACCEPT this explanation under Section 61(2) and INFORM the Company accordingly, dropping the proceeding;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comparison of inward e-way bill values with outward GSTR-3B turnover discloses no discrepancy in the return;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on record the reconciliation at Annexure 1;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61 of the CGST / Bihar GST Act, 2017; Rules 99, 45 and 138 of the CGST Rules, 2017 (Forms GST ASMT-10 and ASMT-11).</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E-way bill-wise reconciliation for FY 2020-21 (stock transfers, job-work, returns, capital goods, exempt/non-GST, cancelled/duplicated, period spill-over; residue tied to the purchase register and GSTR-2A).</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Notice; GSTR-1 / GSTR-3B / GSTR-9 extracts.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2026-06-13T08:26:24.963Z</dcterms:created>
  <dcterms:modified xsi:type="dcterms:W3CDTF">2026-06-13T08:26:24.963Z</dcterms:modified>
</cp:coreProperties>
</file>

<file path=docProps/custom.xml><?xml version="1.0" encoding="utf-8"?>
<Properties xmlns="http://schemas.openxmlformats.org/officeDocument/2006/custom-properties" xmlns:vt="http://schemas.openxmlformats.org/officeDocument/2006/docPropsVTypes"/>
</file>