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proposing reversal of input tax credit for FY 2017-18 as availed beyond the Section 16(4) time limit, the credit having been availed within the extended due date for FY 2017-18 (up to March 2019) and, in any event, being protected by the retrospective Section 16(5)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73/74, No. [____] dated [____] (the “Impugned SCN”); ITC Rs. [____], FY 2017-18.</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order, notification and amendment is marked [VERIFY] for a final check before filing, save the verified Section 16(5) particulars. The facts (ITC for FY 2017-18 availed in February 2019; SCN alleging breach of the Section 16(4) ‘September 2018’ limit) and the source's reliance on the extension to March 2019 and the 31st GST Council decision are reproduced.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reversal of the Company's input tax credit for FY 2017-18, with interest and penalty, on the footing that it was availed after the Section 16(4) date — the due date of the September 2018 return. The notice is unsustainable on </w:t>
      </w:r>
      <w:r>
        <w:rPr>
          <w:rFonts w:ascii="Times New Roman" w:cs="Times New Roman" w:eastAsia="Times New Roman" w:hAnsi="Times New Roman"/>
          <w:b/>
          <w:bCs/>
          <w:i w:val="false"/>
          <w:iCs w:val="false"/>
          <w:caps w:val="false"/>
          <w:sz w:val="24"/>
          <w:szCs w:val="24"/>
        </w:rPr>
        <w:t xml:space="preserve">two independent grounds</w:t>
      </w: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the due date for availing ITC for FY 2017-18 was </w:t>
      </w:r>
      <w:r>
        <w:rPr>
          <w:rFonts w:ascii="Times New Roman" w:cs="Times New Roman" w:eastAsia="Times New Roman" w:hAnsi="Times New Roman"/>
          <w:b/>
          <w:bCs/>
          <w:i w:val="false"/>
          <w:iCs w:val="false"/>
          <w:caps w:val="false"/>
          <w:sz w:val="24"/>
          <w:szCs w:val="24"/>
        </w:rPr>
        <w:t xml:space="preserve">extended to the due date of the return for March 2019</w:t>
      </w:r>
      <w:r>
        <w:rPr>
          <w:rFonts w:ascii="Times New Roman" w:cs="Times New Roman" w:eastAsia="Times New Roman" w:hAnsi="Times New Roman"/>
          <w:b w:val="false"/>
          <w:bCs w:val="false"/>
          <w:i w:val="false"/>
          <w:iCs w:val="false"/>
          <w:caps w:val="false"/>
          <w:sz w:val="24"/>
          <w:szCs w:val="24"/>
        </w:rPr>
        <w:t xml:space="preserve">, by the Government on the recommendation of the 31st GST Council; the Company availed the credit in February 2019 — squarely within the extended period.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and conclusively, Section 16(5) — inserted with retrospective effect from 1 July 2017 — allows ITC for FY 2017-18 to 2020-21 if availed in any return filed up to 30 November 2021. The Company's credit was so availed. The very foundation of the SCN has been removed by Parliament, and the Board has directed that this relief be given effect in pending proceedings.</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input tax credit of Rs. [____] for FY 2017-18 on valid tax invoices, after receipt of the supplies and payment to the suppliers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availment. </w:t>
      </w:r>
      <w:r>
        <w:rPr>
          <w:rFonts w:ascii="Times New Roman" w:cs="Times New Roman" w:eastAsia="Times New Roman" w:hAnsi="Times New Roman"/>
          <w:b w:val="false"/>
          <w:bCs w:val="false"/>
          <w:i w:val="false"/>
          <w:iCs w:val="false"/>
          <w:caps w:val="false"/>
          <w:sz w:val="24"/>
          <w:szCs w:val="24"/>
        </w:rPr>
        <w:t xml:space="preserve">The said credit was availed in the Company's Form GSTR-3B for the month of [____], filed in February 2019.</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SCN, the Department alleges that the credit was availed beyond the Section 16(4) date (the due date of the September 2018 return) and proposes its reversal with interest and penalty.</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due date for FY 2017-18 ITC was extended to the due date of the March 2019 return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16(4) sets the outer date for availing ITC as the due date of the September return following the financial year (or the annual return, if earlier). For FY 2017-18, that date was </w:t>
      </w:r>
      <w:r>
        <w:rPr>
          <w:rFonts w:ascii="Times New Roman" w:cs="Times New Roman" w:eastAsia="Times New Roman" w:hAnsi="Times New Roman"/>
          <w:b w:val="false"/>
          <w:bCs w:val="false"/>
          <w:i/>
          <w:iCs/>
          <w:caps w:val="false"/>
          <w:sz w:val="24"/>
          <w:szCs w:val="24"/>
        </w:rPr>
        <w:t xml:space="preserve">extended to the due date of the return for the month of March 2019</w:t>
      </w:r>
      <w:r>
        <w:rPr>
          <w:rFonts w:ascii="Times New Roman" w:cs="Times New Roman" w:eastAsia="Times New Roman" w:hAnsi="Times New Roman"/>
          <w:b w:val="false"/>
          <w:bCs w:val="false"/>
          <w:i w:val="false"/>
          <w:iCs w:val="false"/>
          <w:caps w:val="false"/>
          <w:sz w:val="24"/>
          <w:szCs w:val="24"/>
        </w:rPr>
        <w:t xml:space="preserve">, pursuant to the decision of the 31st GST Council (meeting dated 22.12.2018, agenda item proposing the extension), given effect through the Government's order / removal-of-difficulties order and the Board's Order No. 02/2018-Central Tax dated 31.12.2018 [VERIFY] read with the proviso then inserted to Section 16(4). The extension applied to invoices for FY 2017-18 the details of which had been uploaded by the suppliers. The Company availed the credit in February 2019, well within the extended period. The premise of the SCN — a September 2018 cut-off — is therefore factually wrong for FY 2017-18.</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Confirm the precise instrument and its conditions for the FY 2017-18 extension to March 2019 (the removal-of-difficulties Order No. 02/2018-Central Tax dated 31.12.2018 and the corresponding proviso to Section 16(4)), and whether the supplier-upload condition attached to the extension is satisfied on the facts. [VERIFY]</w:t>
      </w:r>
    </w:p>
    <w:p>
      <w:pPr>
        <w:pStyle w:val="Heading2"/>
        <w:spacing w:after="140" w:before="200"/>
      </w:pPr>
      <w:r>
        <w:rPr>
          <w:rFonts w:ascii="Times New Roman" w:cs="Times New Roman" w:eastAsia="Times New Roman" w:hAnsi="Times New Roman"/>
          <w:b/>
          <w:bCs/>
          <w:sz w:val="24"/>
          <w:szCs w:val="24"/>
        </w:rPr>
        <w:t xml:space="preserve">Ground 2: In any event, the retrospective Section 16(5) protects the credit conclusively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16(5), inserted by the Finance (No. 2) Act, 2024 (Section 118) with retrospective effect from 1 July 2017, and brought into force on 27 September 2024 by Notification No. 17/2024-Central Tax, provides that notwithstanding Section 16(4), a registered person shall be entitled to ITC in respect of invoices or debit notes pertaining to FY 2017-18, 2018-19, 2019-20 and 2020-21 in any return in Form GSTR-3B filed up to 30 November 2021. The Company's credit for FY 2017-18, availed in February 2019, is squarely within Section 16(5). The Board's Circular No. 237/31/2024-GST dated 15.10.2024 directs that this relief be implemented in pending and concluded proceedings. Since the present matter is at the show-cause stage and no order has yet been passed, the Section 16(5) defence is taken directly in this reply and no rectification application is required. The special rectification procedure under Notification No. 22/2024-Central Tax dated 08.10.2024 was a time-limited window for orders already passed, and that window closed on 07.04.2025; for any order already on the books the remedy now lies under Section 161, in appeal, or in a writ invoking the Section 16(5) validation, subject to the bar in Section 150 of the Finance (No. 2) Act, 2024 on refund of tax already paid or ITC already reversed. The foundation of the SCN no longer exists in law.</w:t>
      </w:r>
    </w:p>
    <w:p>
      <w:pPr>
        <w:pStyle w:val="Heading2"/>
        <w:spacing w:after="140" w:before="200"/>
      </w:pPr>
      <w:r>
        <w:rPr>
          <w:rFonts w:ascii="Times New Roman" w:cs="Times New Roman" w:eastAsia="Times New Roman" w:hAnsi="Times New Roman"/>
          <w:b/>
          <w:bCs/>
          <w:sz w:val="24"/>
          <w:szCs w:val="24"/>
        </w:rPr>
        <w:t xml:space="preserve">Ground 3 (without prejudice): No interest on unutilised credit; no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and no penalty — least of all a Section 74 penalty — is exigible, the availment being bona fide, fully documented, and now expressly sanctioned by Section 16(5). The matter discloses no fraud, wilful misstatement or suppression of any kind.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ITC for FY 2017-18, availed in February 2019, is within the extended due date (the due date of the March 2019 return);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in any event, that the credit is protected by the retrospective Section 16(5) read with Circular No. 237/31/2024-GST, and DROP the demand,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16(4) and 16(5) of the CGST Act, 2017 (Section 16(5) inserted by the Finance (No. 2) Act, 2024, Section 118, w.r.e.f. 01.07.2017, in force 27.09.2024 vide Notification No. 17/2024-Central Tax); Sections 50, 73, 74 of the Act;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Order No. 02/2018-Central Tax dated 31.12.2018 (extension of the FY 2017-18 ITC due date to the due date of the March 2019 return) read with the proviso to Section 16(4); decision of the 31st GST Council, 22.12.2018.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237/31/2024-GST dated 15.10.2024; Notification No. 22/2024-Central Tax dated 08.10.2024 (special rectification procedure for orders already passed; application window closed 07.04.2025); Section 161 of the CGST Act, 2017 (rectification); Section 150 of the Finance (No. 2) Act, 2024 (no refund of tax paid / ITC reversed).</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and the GSTR-3B (February 2019) evidencing the date of availment.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Evidence of receipt of the supplies and payment to the suppliers including tax.</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2026-06-13T08:26:25.155Z</dcterms:created>
  <dcterms:modified xsi:type="dcterms:W3CDTF">2026-06-13T08:26:25.155Z</dcterms:modified>
</cp:coreProperties>
</file>

<file path=docProps/custom.xml><?xml version="1.0" encoding="utf-8"?>
<Properties xmlns="http://schemas.openxmlformats.org/officeDocument/2006/custom-properties" xmlns:vt="http://schemas.openxmlformats.org/officeDocument/2006/docPropsVTypes"/>
</file>