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Joint Commissioner of State Tax,</w:t>
      </w:r>
    </w:p>
    <w:p>
      <w:pPr>
        <w:spacing w:after="160"/>
        <w:jc w:val="left"/>
      </w:pPr>
      <w:r>
        <w:rPr>
          <w:rFonts w:ascii="Times New Roman" w:cs="Times New Roman" w:eastAsia="Times New Roman" w:hAnsi="Times New Roman"/>
          <w:sz w:val="24"/>
          <w:szCs w:val="24"/>
        </w:rPr>
        <w:t xml:space="preserve">[Ward / Circle],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Communication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Submission in answer to the communication dated ________ demanding reversal of input tax credit of Rs. ____ on the allegation that the supplier M/s ________ was “not found” on field visit.</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Lead order of argument: (1) a bare communication is not a Show Cause Notice; any proposal to reverse ITC must travel through Rule 142 in Form DRC-01A/DRC-01; (2) absence of DIN; (3) ITC of a bona fide recipient cannot be denied solely because the supplier was “not found”.</w:t>
      </w:r>
    </w:p>
    <w:p>
      <w:pPr>
        <w:spacing w:after="80"/>
        <w:jc w:val="both"/>
      </w:pPr>
      <w:r>
        <w:rPr>
          <w:rFonts w:ascii="Times New Roman" w:cs="Times New Roman" w:eastAsia="Times New Roman" w:hAnsi="Times New Roman"/>
          <w:i/>
          <w:iCs/>
          <w:sz w:val="24"/>
          <w:szCs w:val="24"/>
        </w:rPr>
        <w:t xml:space="preserve">CRITICAL HEDGE on the DIN ground: first check whether the impugned communication carries a verifiable Reference Number (RFN). Per CBIC Circular 249/06/2025-GST dated 09.06.2025, a portal communication bearing an RFN does not additionally require a DIN — if an RFN is present, DELETE the DIN ground and rely only on the “no SCN / no Section / no Rule” defect and the bona fide-recipient line. Separately, the Andhra Pradesh DIN line is under a Supreme Court stay (Asst. Commissioner, CGST v. Novelty Reddy &amp; Reddy Motors, SLP(C) 28105/2025, stay dated 13.10.2025); re-verify the SLP status on the Supreme Court case-status portal immediately before filing.</w:t>
      </w:r>
    </w:p>
    <w:p>
      <w:pPr>
        <w:spacing w:after="80"/>
        <w:jc w:val="both"/>
      </w:pPr>
      <w:r>
        <w:rPr>
          <w:rFonts w:ascii="Times New Roman" w:cs="Times New Roman" w:eastAsia="Times New Roman" w:hAnsi="Times New Roman"/>
          <w:i/>
          <w:iCs/>
          <w:sz w:val="24"/>
          <w:szCs w:val="24"/>
        </w:rPr>
        <w:t xml:space="preserve">Do not overstate Pradeep Goyal v. Union of India (SC, 18.07.2022): its operative direction was to implement DIN; the “non-est” consequence flows from Circular 128/47/2019 and its High Court application.</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communication is not a notice known to the Act. The Act prescribes a complete code for assessment (Chapter XII) and for demand and recovery (Chapter XV), and any proposal to recover or reverse credit must issue as a Show Cause Notice under Rule 142 in Form DRC-01A/DRC-01 with the section, the allegation, the reason and the quantification. A communication carrying none of these has no legal value and calls for no compliance. Without prejudice, input tax credit of a bona fide recipient cannot be denied merely because the supplier was “not found” on a field visit, without first proceeding against the supplier.</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communication is not a Show Cause Notice. </w:t>
      </w:r>
      <w:r>
        <w:rPr>
          <w:rFonts w:ascii="Times New Roman" w:cs="Times New Roman" w:eastAsia="Times New Roman" w:hAnsi="Times New Roman"/>
          <w:sz w:val="24"/>
          <w:szCs w:val="24"/>
        </w:rPr>
        <w:t xml:space="preserve">Any demand must be preceded by a Show Cause Notice issued under Rule 142 of the CGST Rules in Form DRC-01A followed by DRC-01, setting out the specific allegation, the provision invoked, the reason and the amount. The impugned communication carries no section, no rule and no quantified proposal in the prescribed form, and is therefore not a notice known to the Act.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Show Cause Notice is a jurisdictional pre-condition for quasi-judicial action. </w:t>
      </w:r>
      <w:r>
        <w:rPr>
          <w:rFonts w:ascii="Times New Roman" w:cs="Times New Roman" w:eastAsia="Times New Roman" w:hAnsi="Times New Roman"/>
          <w:sz w:val="24"/>
          <w:szCs w:val="24"/>
        </w:rPr>
        <w:t xml:space="preserve">It is settled since East India Commercial Co. Ltd, Calcutta v. Collector of Customs, Calcutta (AIR 1962 SC 1893) that a valid show cause notice is the foundation of any quasi-judicial proceeding; action proposed otherwise than through such a notice is without jurisdiction.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Absence of Document Identification Number. </w:t>
      </w:r>
      <w:r>
        <w:rPr>
          <w:rFonts w:ascii="Times New Roman" w:cs="Times New Roman" w:eastAsia="Times New Roman" w:hAnsi="Times New Roman"/>
          <w:sz w:val="24"/>
          <w:szCs w:val="24"/>
        </w:rPr>
        <w:t xml:space="preserve">In terms of CBIC Circulars 122/41/2019-GST dated 05.11.2019 and 128/47/2019-GST dated 23.12.2019, any communication issued without a computer-generated Document Identification Number is to be treated as invalid and as never having been issued, unless it bears a verifiable Reference Number generated on the common portal.</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Credit of a bona fide recipient cannot be denied on “supplier not found”. </w:t>
      </w:r>
      <w:r>
        <w:rPr>
          <w:rFonts w:ascii="Times New Roman" w:cs="Times New Roman" w:eastAsia="Times New Roman" w:hAnsi="Times New Roman"/>
          <w:sz w:val="24"/>
          <w:szCs w:val="24"/>
        </w:rPr>
        <w:t xml:space="preserve">Where the recipient holds a tax invoice, has received the supply, has paid the supplier including tax, and the supplier was registered at the material time, credit cannot be reversed solely because the supplier is later “not found” on a visit. The revenue must first establish and proceed against the defaulting supplier. Reliance is placed on Suncraft Energy Pvt. Ltd. (Calcutta High Court) and the line of authority following On Quest Merchandising (Delhi High Court).</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communication be withdrawn as being without authority of law; and that no reversal of input tax credit be effected except through a Show Cause Notice issued in accordance with Rule 142 of the CGST Rules, with an opportunity of hearing.</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lowerLetter"/>
      <w:lvlText w:val="(%1)"/>
      <w:lvlJc w:val="left"/>
      <w:pPr>
        <w:ind w:left="720" w:hanging="420"/>
      </w:pPr>
    </w:lvl>
  </w:abstractNum>
  <w:abstractNum w:abstractNumId="6" w15:restartNumberingAfterBreak="0">
    <w:multiLevelType w:val="hybridMultilevel"/>
    <w:lvl w:ilvl="0" w15:tentative="1">
      <w:start w:val="1"/>
      <w:numFmt w:val="lowerLetter"/>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2026-06-14T02:47:43.111Z</dcterms:created>
  <dcterms:modified xsi:type="dcterms:W3CDTF">2026-06-14T02:47:43.111Z</dcterms:modified>
</cp:coreProperties>
</file>

<file path=docProps/custom.xml><?xml version="1.0" encoding="utf-8"?>
<Properties xmlns="http://schemas.openxmlformats.org/officeDocument/2006/custom-properties" xmlns:vt="http://schemas.openxmlformats.org/officeDocument/2006/docPropsVTypes"/>
</file>