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Superintendent of Central Tax,</w:t>
      </w:r>
    </w:p>
    <w:p>
      <w:pPr>
        <w:spacing w:after="160"/>
        <w:jc w:val="left"/>
      </w:pPr>
      <w:r>
        <w:rPr>
          <w:rFonts w:ascii="Times New Roman" w:cs="Times New Roman" w:eastAsia="Times New Roman" w:hAnsi="Times New Roman"/>
          <w:sz w:val="24"/>
          <w:szCs w:val="24"/>
        </w:rPr>
        <w:t xml:space="preserve">[Range / Division], [Commissionerate]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DRC-01 invoking general penalty under Section 125 read with Section 127 of the CGST Act, 2017 for Rs. 50,000 (CGST Rs. 25,000 and SGST Rs. 25,000).</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Re-anchored argument (IMPORTANT): the older Canon India (2021) authority on “the proper officer” has been reviewed and substantially set aside by the Supreme Court in Commissioner of Customs v. Canon India Pvt. Ltd., 2024 INSC 854 (07.11.2024), which upheld Section 97 of the Finance Act, 2022. DO NOT rely on Canon India (2021). The jurisdiction argument here stands independently on Section 2(91) read with the proper-officer assignment circulars.</w:t>
      </w:r>
    </w:p>
    <w:p>
      <w:pPr>
        <w:spacing w:after="80"/>
        <w:jc w:val="both"/>
      </w:pPr>
      <w:r>
        <w:rPr>
          <w:rFonts w:ascii="Times New Roman" w:cs="Times New Roman" w:eastAsia="Times New Roman" w:hAnsi="Times New Roman"/>
          <w:i/>
          <w:iCs/>
          <w:sz w:val="24"/>
          <w:szCs w:val="24"/>
        </w:rPr>
        <w:t xml:space="preserve">Core lever: under Circular 3/3/2017-GST the proper officer for Section 127 is the Deputy/Assistant Commissioner of Central Tax, not the Superintendent. An SCN issued by an officer not assigned the function is without jurisdiction.</w:t>
      </w:r>
    </w:p>
    <w:p>
      <w:pPr>
        <w:spacing w:after="80"/>
        <w:jc w:val="both"/>
      </w:pPr>
      <w:r>
        <w:rPr>
          <w:rFonts w:ascii="Times New Roman" w:cs="Times New Roman" w:eastAsia="Times New Roman" w:hAnsi="Times New Roman"/>
          <w:i/>
          <w:iCs/>
          <w:sz w:val="24"/>
          <w:szCs w:val="24"/>
        </w:rPr>
        <w:t xml:space="preserve">Placeholders: SCN reference and date; the precise allegation underlying the Section 125 penalty.</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Show Cause Notice has been issued by the Superintendent of Central Tax. The Superintendent is not the proper officer assigned the function of invoking general penalty under Section 127. The notice is therefore without jurisdiction and unsustainable.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“Proper officer” is a defined and assigned office. </w:t>
      </w:r>
      <w:r>
        <w:rPr>
          <w:rFonts w:ascii="Times New Roman" w:cs="Times New Roman" w:eastAsia="Times New Roman" w:hAnsi="Times New Roman"/>
          <w:sz w:val="24"/>
          <w:szCs w:val="24"/>
        </w:rPr>
        <w:t xml:space="preserve">Under Section 2(91), the proper officer is the Commissioner or the officer of central tax to whom the Commissioner has assigned the function. The function must be specifically assigned; an officer not so assigned cannot exercise it.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Section 127 function is assigned to the Deputy/Assistant Commissioner. </w:t>
      </w:r>
      <w:r>
        <w:rPr>
          <w:rFonts w:ascii="Times New Roman" w:cs="Times New Roman" w:eastAsia="Times New Roman" w:hAnsi="Times New Roman"/>
          <w:sz w:val="24"/>
          <w:szCs w:val="24"/>
        </w:rPr>
        <w:t xml:space="preserve">By Circular 3/3/2017-GST dated 05.07.2017 (as supplemented by Circular 31/05/2018-GST dated 09.02.2018), the Board has assigned proper-officer functions under the Act. The function relating to Section 127 is assigned to the Deputy or Assistant Commissioner of Central Tax. The present notice, issued by the Superintendent, is outside the assigned function.</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notice issued without authority is void. </w:t>
      </w:r>
      <w:r>
        <w:rPr>
          <w:rFonts w:ascii="Times New Roman" w:cs="Times New Roman" w:eastAsia="Times New Roman" w:hAnsi="Times New Roman"/>
          <w:sz w:val="24"/>
          <w:szCs w:val="24"/>
        </w:rPr>
        <w:t xml:space="preserve">Where a statutory power is conferred on a designated officer, its exercise by an officer not so designated is a nullity. The defect goes to jurisdiction and is not curable by participation in the proceedings.</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Show Cause Notice be dropped as having been issued without jurisdiction; without prejudice, that the matter be transferred to the proper officer assigned the function under Section 127; and that an opportunity of hearing be granted.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lowerLetter"/>
      <w:lvlText w:val="(%1)"/>
      <w:lvlJc w:val="left"/>
      <w:pPr>
        <w:ind w:left="720" w:hanging="420"/>
      </w:pPr>
    </w:lvl>
  </w:abstractNum>
  <w:abstractNum w:abstractNumId="6" w15:restartNumberingAfterBreak="0">
    <w:multiLevelType w:val="hybridMultilevel"/>
    <w:lvl w:ilvl="0" w15:tentative="1">
      <w:start w:val="1"/>
      <w:numFmt w:val="lowerLetter"/>
      <w:lvlText w:val="(%1)"/>
      <w:lvlJc w:val="left"/>
      <w:pPr>
        <w:ind w:left="720" w:hanging="4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2026-06-14T02:47:43.181Z</dcterms:created>
  <dcterms:modified xsi:type="dcterms:W3CDTF">2026-06-14T02:47:43.181Z</dcterms:modified>
</cp:coreProperties>
</file>

<file path=docProps/custom.xml><?xml version="1.0" encoding="utf-8"?>
<Properties xmlns="http://schemas.openxmlformats.org/officeDocument/2006/custom-properties" xmlns:vt="http://schemas.openxmlformats.org/officeDocument/2006/docPropsVTypes"/>
</file>