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Superintendent of Central Tax,</w:t>
      </w:r>
    </w:p>
    <w:p>
      <w:pPr>
        <w:spacing w:after="160"/>
        <w:jc w:val="left"/>
      </w:pPr>
      <w:r>
        <w:rPr>
          <w:rFonts w:ascii="Times New Roman" w:cs="Times New Roman" w:eastAsia="Times New Roman" w:hAnsi="Times New Roman"/>
          <w:sz w:val="24"/>
          <w:szCs w:val="24"/>
        </w:rPr>
        <w:t xml:space="preserve">[Range / Division], [Commissionerate]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alleging discharge of output tax wholly from the electronic credit ledger in contravention of Rule 86B of the CGST Rules, 2017.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Rule 86B applies only where the value of taxable supply (other than exempt and zero-rated supply) in a month exceeds Rs. 50 lakh. Where monthly taxable supply is below that threshold, the rule does not apply at all.</w:t>
      </w:r>
    </w:p>
    <w:p>
      <w:pPr>
        <w:spacing w:after="80"/>
        <w:jc w:val="both"/>
      </w:pPr>
      <w:r>
        <w:rPr>
          <w:rFonts w:ascii="Times New Roman" w:cs="Times New Roman" w:eastAsia="Times New Roman" w:hAnsi="Times New Roman"/>
          <w:i/>
          <w:iCs/>
          <w:sz w:val="24"/>
          <w:szCs w:val="24"/>
        </w:rPr>
        <w:t xml:space="preserve">Insert the month-wise sales figures in the table below to demonstrate the threshold is not crossed in any relevant month.</w:t>
      </w:r>
    </w:p>
    <w:p>
      <w:pPr>
        <w:spacing w:after="80"/>
        <w:jc w:val="both"/>
      </w:pPr>
      <w:r>
        <w:rPr>
          <w:rFonts w:ascii="Times New Roman" w:cs="Times New Roman" w:eastAsia="Times New Roman" w:hAnsi="Times New Roman"/>
          <w:i/>
          <w:iCs/>
          <w:sz w:val="24"/>
          <w:szCs w:val="24"/>
        </w:rPr>
        <w:t xml:space="preserve">Fallback only (do not lead with it): the Himachal Pradesh High Court in M/s A.M. Enterprises (2024:HHC:8914) observed prima facie that Rule 86B may lack statutory backing; the point was left open. Use as a secondary argument.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Rule 86B restricts use of the electronic credit ledger to ninety-nine per cent of the output tax liability only in cases where the value of taxable supply in a month exceeds fifty lakh rupees. The noticee’s monthly taxable supply did not exceed that threshold in any relevant month; the restriction therefore has no application, and the allegation is misconceived.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threshold condition is not satisfied. </w:t>
      </w:r>
      <w:r>
        <w:rPr>
          <w:rFonts w:ascii="Times New Roman" w:cs="Times New Roman" w:eastAsia="Times New Roman" w:hAnsi="Times New Roman"/>
          <w:sz w:val="24"/>
          <w:szCs w:val="24"/>
        </w:rPr>
        <w:t xml:space="preserve">Rule 86B, inserted by Notification 94/2020-Central Tax dated 22.12.2020 with effect from 01.01.2021, opens with a threshold: the one-per-cent cash condition applies only “in cases where the value of taxable supply other than exempt supply and zero-rated supply, in a month exceeds fifty lakh rupees”. The noticee’s monthly taxable supply is below Rs. 50 lakh, as the figures below establish.</w:t>
      </w:r>
    </w:p>
    <w:p>
      <w:pPr>
        <w:spacing w:after="160" w:line="276"/>
        <w:jc w:val="both"/>
      </w:pPr>
      <w:r>
        <w:rPr>
          <w:rFonts w:ascii="Times New Roman" w:cs="Times New Roman" w:eastAsia="Times New Roman" w:hAnsi="Times New Roman"/>
          <w:sz w:val="24"/>
          <w:szCs w:val="24"/>
        </w:rPr>
        <w:t xml:space="preserve">Month-wise value of taxable supply (other than exempt and zero-rated) for the period in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Month</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Taxable supply (Rs.)</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Exceeds Rs. 50 lakh?</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No</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No</w:t>
            </w:r>
          </w:p>
        </w:tc>
      </w:tr>
    </w:tbl>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 any event the exceptions apply. </w:t>
      </w:r>
      <w:r>
        <w:rPr>
          <w:rFonts w:ascii="Times New Roman" w:cs="Times New Roman" w:eastAsia="Times New Roman" w:hAnsi="Times New Roman"/>
          <w:sz w:val="24"/>
          <w:szCs w:val="24"/>
        </w:rPr>
        <w:t xml:space="preserve">Even where the threshold is crossed, the rule is subject to exceptions — including where the registered person (or its proprietor/karta/managing director/partner/whole-time director) has paid income tax exceeding Rs. 1 lakh in each of the two preceding financial years, or has received a refund exceeding Rs. 1 lakh on zero-rated supplies or on account of inverted duty structure, or has discharged more than one per cent of cumulative output tax in cash in the financial year. The noticee falls within the exception(s) at [—].</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communication be dropped, the restriction under Rule 86B being inapplicable to the noticee’s facts.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2026-06-14T02:47:43.496Z</dcterms:created>
  <dcterms:modified xsi:type="dcterms:W3CDTF">2026-06-14T02:47:43.496Z</dcterms:modified>
</cp:coreProperties>
</file>

<file path=docProps/custom.xml><?xml version="1.0" encoding="utf-8"?>
<Properties xmlns="http://schemas.openxmlformats.org/officeDocument/2006/custom-properties" xmlns:vt="http://schemas.openxmlformats.org/officeDocument/2006/docPropsVTypes"/>
</file>