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Goods and Services Tax,</w:t>
      </w:r>
    </w:p>
    <w:p>
      <w:pPr>
        <w:spacing w:after="160"/>
        <w:jc w:val="left"/>
      </w:pPr>
      <w:r>
        <w:rPr>
          <w:rFonts w:ascii="Times New Roman" w:cs="Times New Roman" w:eastAsia="Times New Roman" w:hAnsi="Times New Roman"/>
          <w:sz w:val="24"/>
          <w:szCs w:val="24"/>
        </w:rPr>
        <w:t xml:space="preserve">[Division],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Communication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Representation against the blocking of the electronic credit ledger of Rs. ____ under Rule 86A of the CGST Rules, 2017, made without recorded reasons and without a pre-decisional hearing, and request for unblocking.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Frame the challenge on three independent grounds: (1) no “reasons to believe” recorded in writing; (2) borrowed satisfaction / no independent application of mind; (3) no pre-decisional hearing. Do NOT argue that the absence of an ASMT-10/SCN is itself fatal — Rule 86A is preventive, not adjudicatory.</w:t>
      </w:r>
    </w:p>
    <w:p>
      <w:pPr>
        <w:spacing w:after="80"/>
        <w:jc w:val="both"/>
      </w:pPr>
      <w:r>
        <w:rPr>
          <w:rFonts w:ascii="Times New Roman" w:cs="Times New Roman" w:eastAsia="Times New Roman" w:hAnsi="Times New Roman"/>
          <w:i/>
          <w:iCs/>
          <w:sz w:val="24"/>
          <w:szCs w:val="24"/>
        </w:rPr>
        <w:t xml:space="preserve">Lead authority: K-9 Enterprises (Karnataka High Court) — pre-decisional hearing mandatory and independent reasons required; the Supreme Court declined to interfere (SLP dismissed 16.05.2025), so cite the High Court as the operative ruling. Best Crop Science (Delhi High Court, 24.09.2024) supports.</w:t>
      </w:r>
    </w:p>
    <w:p>
      <w:pPr>
        <w:spacing w:after="80"/>
        <w:jc w:val="both"/>
      </w:pPr>
      <w:r>
        <w:rPr>
          <w:rFonts w:ascii="Times New Roman" w:cs="Times New Roman" w:eastAsia="Times New Roman" w:hAnsi="Times New Roman"/>
          <w:i/>
          <w:iCs/>
          <w:sz w:val="24"/>
          <w:szCs w:val="24"/>
        </w:rPr>
        <w:t xml:space="preserve">Also invoke the one-year sunset in Rule 86A(3) and the CBIC Guidelines dated 02.11.2021 on proportionality and written reasons.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electronic credit ledger has been blocked under Rule 86A without any reasons to believe recorded in writing and without a pre-decisional hearing. Each of these is, by itself, fatal to the exercise of this drastic power. The blocking is therefore unsustainable and ought to be lifted.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reasons to believe recorded in writing. </w:t>
      </w:r>
      <w:r>
        <w:rPr>
          <w:rFonts w:ascii="Times New Roman" w:cs="Times New Roman" w:eastAsia="Times New Roman" w:hAnsi="Times New Roman"/>
          <w:sz w:val="24"/>
          <w:szCs w:val="24"/>
        </w:rPr>
        <w:t xml:space="preserve">Rule 86A may be invoked only where the authority, “having reasons to believe” that the credit has been fraudulently availed or is ineligible, records those reasons in writing. The impugned communication discloses no reasons. A blocking unsupported by recorded reasons is without jurisdiction.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independent application of mind. </w:t>
      </w:r>
      <w:r>
        <w:rPr>
          <w:rFonts w:ascii="Times New Roman" w:cs="Times New Roman" w:eastAsia="Times New Roman" w:hAnsi="Times New Roman"/>
          <w:sz w:val="24"/>
          <w:szCs w:val="24"/>
        </w:rPr>
        <w:t xml:space="preserve">The power requires the officer’s own satisfaction on tangible material; it cannot rest on borrowed satisfaction or a mechanical direction. It has been so held by the Karnataka High Court in K-9 Enterprises, which the Supreme Court declined to interfere with.</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pre-decisional hearing. </w:t>
      </w:r>
      <w:r>
        <w:rPr>
          <w:rFonts w:ascii="Times New Roman" w:cs="Times New Roman" w:eastAsia="Times New Roman" w:hAnsi="Times New Roman"/>
          <w:sz w:val="24"/>
          <w:szCs w:val="24"/>
        </w:rPr>
        <w:t xml:space="preserve">Given the serious civil consequences of freezing the credit ledger, a pre-decisional opportunity of hearing is required before Rule 86A is invoked. None was given. Reliance is placed on K-9 Enterprises (Karnataka High Court) and Best Crop Science Pvt. Ltd. (Delhi High Court, 24.09.2024), which hold Rule 86A to be a temporary protective measure to be exercised with these safeguards.</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Temporary measure subject to the one-year sunset. </w:t>
      </w:r>
      <w:r>
        <w:rPr>
          <w:rFonts w:ascii="Times New Roman" w:cs="Times New Roman" w:eastAsia="Times New Roman" w:hAnsi="Times New Roman"/>
          <w:sz w:val="24"/>
          <w:szCs w:val="24"/>
        </w:rPr>
        <w:t xml:space="preserve">In any event, under Rule 86A(3) the restriction ceases to have effect after one year; and the CBIC Guidelines dated 02.11.2021 require the power to be exercised proportionately and on proper grounds, with reasons recorded.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blocking of the electronic credit ledger under Rule 86A be lifted forthwith for want of recorded reasons and a pre-decisional hearing; and that the reasons, if any, be furnished to the noticee.</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2026-06-14T03:19:48.109Z</dcterms:created>
  <dcterms:modified xsi:type="dcterms:W3CDTF">2026-06-14T03:19:48.109Z</dcterms:modified>
</cp:coreProperties>
</file>

<file path=docProps/custom.xml><?xml version="1.0" encoding="utf-8"?>
<Properties xmlns="http://schemas.openxmlformats.org/officeDocument/2006/custom-properties" xmlns:vt="http://schemas.openxmlformats.org/officeDocument/2006/docPropsVTypes"/>
</file>