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 of Goods and Services Tax,</w:t>
      </w:r>
    </w:p>
    <w:p>
      <w:pPr>
        <w:spacing w:after="160"/>
        <w:jc w:val="left"/>
      </w:pPr>
      <w:r>
        <w:rPr>
          <w:rFonts w:ascii="Times New Roman" w:cs="Times New Roman" w:eastAsia="Times New Roman" w:hAnsi="Times New Roman"/>
          <w:sz w:val="24"/>
          <w:szCs w:val="24"/>
        </w:rPr>
        <w:t xml:space="preserve">[Division],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Form DRC-01)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demanding tax under reverse charge under Section 9(3) read with Notification 13/2017-Central Tax (Rate) on goods transport agency service.</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the reverse-charge liability is on a “goods transport agency”, which by definition issues a consignment note. The noticee engaged truck owners for mere transportation and received no consignment note; absent a consignment note there is no GTA service and no Section 9(3) RCM.</w:t>
      </w:r>
    </w:p>
    <w:p>
      <w:pPr>
        <w:spacing w:after="80"/>
        <w:jc w:val="both"/>
      </w:pPr>
      <w:r>
        <w:rPr>
          <w:rFonts w:ascii="Times New Roman" w:cs="Times New Roman" w:eastAsia="Times New Roman" w:hAnsi="Times New Roman"/>
          <w:i/>
          <w:iCs/>
          <w:sz w:val="24"/>
          <w:szCs w:val="24"/>
        </w:rPr>
        <w:t xml:space="preserve">Evidentiary point (decisive): the defence stands on proof that no document functioning as a consignment note was issued. Annex the hire arrangement (per-trip / per-km), payment vouchers and freight records. The revenue may argue any lorry receipt is a consignment note “by whatever name called”, and may cite contrary AAAR rulings — marshal documents accordingly.</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noticee availed only the service of transportation of goods from individual truck owners, paying freight, and received no consignment note. A reverse-charge liability arises only on the service of a goods transport agency, and the issuance of a consignment note is essential to that definition. In its absence, the activity is mere transportation of goods, on which no tax is payable under reverse charge.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goods transport agency must issue a consignment note. </w:t>
      </w:r>
      <w:r>
        <w:rPr>
          <w:rFonts w:ascii="Times New Roman" w:cs="Times New Roman" w:eastAsia="Times New Roman" w:hAnsi="Times New Roman"/>
          <w:sz w:val="24"/>
          <w:szCs w:val="24"/>
        </w:rPr>
        <w:t xml:space="preserve">Under Notification 11/2017-Central Tax (Rate) (and Notification 12/2017-Central Tax (Rate)), a “goods transport agency” means any person who provides service in relation to transport of goods by road “and issues a consignment note, by whatever name called”. The issuance of a consignment note is a defining ingredient of GTA service.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consignment note — no GTA service. </w:t>
      </w:r>
      <w:r>
        <w:rPr>
          <w:rFonts w:ascii="Times New Roman" w:cs="Times New Roman" w:eastAsia="Times New Roman" w:hAnsi="Times New Roman"/>
          <w:sz w:val="24"/>
          <w:szCs w:val="24"/>
        </w:rPr>
        <w:t xml:space="preserve">The truck owners engaged by the noticee did not issue any consignment note. The activity is therefore mere transportation of goods, which is not GTA service, and is outside the reverse-charge entry in Notification 13/2017-Central Tax (Rate).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definition carries forward from the service-tax regime. </w:t>
      </w:r>
      <w:r>
        <w:rPr>
          <w:rFonts w:ascii="Times New Roman" w:cs="Times New Roman" w:eastAsia="Times New Roman" w:hAnsi="Times New Roman"/>
          <w:sz w:val="24"/>
          <w:szCs w:val="24"/>
        </w:rPr>
        <w:t xml:space="preserve">The GST definition mirrors Section 65B(26) of the Finance Act, 1994. Under that regime it was consistently held that, absent consignment notes, the activity is not GTA service. Reliance is placed on the decision of the CESTAT, New Delhi in Bharat Swabhiman (Nyas) v. Commissioner (27.01.2022), and the line of authority following it.</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no consignment note having been issued and no goods transport agency service having been received; and that an opportunity of personal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2026-06-14T03:19:48.372Z</dcterms:created>
  <dcterms:modified xsi:type="dcterms:W3CDTF">2026-06-14T03:19:48.372Z</dcterms:modified>
</cp:coreProperties>
</file>

<file path=docProps/custom.xml><?xml version="1.0" encoding="utf-8"?>
<Properties xmlns="http://schemas.openxmlformats.org/officeDocument/2006/custom-properties" xmlns:vt="http://schemas.openxmlformats.org/officeDocument/2006/docPropsVTypes"/>
</file>