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Assistant Commissioner of Central Goods and Services Tax,</w:t>
      </w:r>
    </w:p>
    <w:p>
      <w:pPr>
        <w:spacing w:after="160"/>
        <w:jc w:val="left"/>
      </w:pPr>
      <w:r>
        <w:rPr>
          <w:rFonts w:ascii="Times New Roman" w:cs="Times New Roman" w:eastAsia="Times New Roman" w:hAnsi="Times New Roman"/>
          <w:sz w:val="24"/>
          <w:szCs w:val="24"/>
        </w:rPr>
        <w:t xml:space="preserve">[Range / Division],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Communication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Representation against the blocking of the electronic credit ledger under Rule 86A of the CGST Rules, 2017, to the extent it covers interest and penalty and creates a negative balance, and request to lift the block.</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levers: (1) Rule 86A can block only “credit of input tax available in the electronic credit ledger” — interest and penalty are not input tax credit and cannot be blocked under Rule 86A; their recovery lies under Sections 73/74/79. (2) There is no power to create a negative balance by blocking more than the credit available.</w:t>
      </w:r>
    </w:p>
    <w:p>
      <w:pPr>
        <w:spacing w:after="80"/>
        <w:jc w:val="both"/>
      </w:pPr>
      <w:r>
        <w:rPr>
          <w:rFonts w:ascii="Times New Roman" w:cs="Times New Roman" w:eastAsia="Times New Roman" w:hAnsi="Times New Roman"/>
          <w:i/>
          <w:iCs/>
          <w:sz w:val="24"/>
          <w:szCs w:val="24"/>
        </w:rPr>
        <w:t xml:space="preserve">Authority: Best Crop Science (Delhi HC, 24.09.2024) — Rule 86A is protective, not a recovery measure; Samay Alloys (Gujarat HC), Laxmi Fine Chem (Telangana HC) and Rawman Metal &amp; Alloys (Bombay HC, 07.10.2025) — no negative blocking; K-9 Enterprises (Karnataka HC, WA 100425/2023) — reasons to believe and pre-decisional hearing. Plead K-9 via the Karnataka HC ruling, NOT the Supreme Court SLP dismissal (16.05.2025), which is not Article 141 law.</w:t>
      </w:r>
    </w:p>
    <w:p>
      <w:pPr>
        <w:spacing w:after="80"/>
        <w:jc w:val="both"/>
      </w:pPr>
      <w:r>
        <w:rPr>
          <w:rFonts w:ascii="Times New Roman" w:cs="Times New Roman" w:eastAsia="Times New Roman" w:hAnsi="Times New Roman"/>
          <w:i/>
          <w:iCs/>
          <w:sz w:val="24"/>
          <w:szCs w:val="24"/>
        </w:rPr>
        <w:t xml:space="preserve">Honest note: this is an UNRESOLVED High Court conflict. The Madras HC (Skanthaguru Innovations) and Calcutta HC (Basanta Kumar Shaw) uphold negative blocking; lead with the reasoned Best Crop Science line and distinguish the contrary view rather than ignore it. Insert the actual figures of credit available, amount blocked, and the interest/penalty component blocked.</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blocking under Rule 86A is unsustainable on two counts. First, it extends to interest and penalty, which are not input tax credit and lie outside the scope of Rule 86A. Second, it exceeds the credit available in the electronic credit ledger and thereby creates a negative balance, which the Rule does not permit.</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Rule 86A reaches only input tax credit. </w:t>
      </w:r>
      <w:r>
        <w:rPr>
          <w:rFonts w:ascii="Times New Roman" w:cs="Times New Roman" w:eastAsia="Times New Roman" w:hAnsi="Times New Roman"/>
          <w:sz w:val="24"/>
          <w:szCs w:val="24"/>
        </w:rPr>
        <w:t xml:space="preserve">Rule 86A(1) permits the authority, on recorded reasons, to “not allow debit of an amount equivalent to such credit in the electronic credit ledger”, the trigger being “credit of input tax available in the electronic credit ledger”. By its plain terms the power operates only upon input tax credit.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Interest and penalty cannot be blocked under Rule 86A. </w:t>
      </w:r>
      <w:r>
        <w:rPr>
          <w:rFonts w:ascii="Times New Roman" w:cs="Times New Roman" w:eastAsia="Times New Roman" w:hAnsi="Times New Roman"/>
          <w:sz w:val="24"/>
          <w:szCs w:val="24"/>
        </w:rPr>
        <w:t xml:space="preserve">Interest and penalty are not input tax credit; they are liabilities discharged from the electronic cash ledger and, if disputed, are determined and recovered under Sections 73/74 read with Section 79. They cannot be secured or blocked through Rule 86A, which is not a recovery provision. Reliance is placed on Best Crop Science Pvt. Ltd. (Delhi High Court, 24.09.2024), holding Rule 86A to be a temporary protective measure operating in isolation from the recovery provisions.</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power of negative blocking. </w:t>
      </w:r>
      <w:r>
        <w:rPr>
          <w:rFonts w:ascii="Times New Roman" w:cs="Times New Roman" w:eastAsia="Times New Roman" w:hAnsi="Times New Roman"/>
          <w:sz w:val="24"/>
          <w:szCs w:val="24"/>
        </w:rPr>
        <w:t xml:space="preserve">The existence of credit in the ledger is a condition precedent to Rule 86A; the Rule confers no power to block credit not yet availed or to create a negative balance. This is the view of the Delhi High Court in Best Crop Science Pvt. Ltd. (24.09.2024), the Gujarat High Court in Samay Alloys India Pvt. Ltd., the Telangana High Court in Laxmi Fine Chem, and the Bombay High Court in Rawman Metal &amp; Alloys (07.10.2025). The noticee is conscious that a contrary view has been taken by the Madras High Court in Skanthaguru Innovations and by the Calcutta High Court in Basanta Kumar Shaw; it is respectfully submitted that the reasoned line in Best Crop Science, founded on the plain text of Rule 86A, is to be preferred.</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Recorded reasons and the one-year sunset. </w:t>
      </w:r>
      <w:r>
        <w:rPr>
          <w:rFonts w:ascii="Times New Roman" w:cs="Times New Roman" w:eastAsia="Times New Roman" w:hAnsi="Times New Roman"/>
          <w:sz w:val="24"/>
          <w:szCs w:val="24"/>
        </w:rPr>
        <w:t xml:space="preserve">In any event, the power requires reasons to believe recorded in writing and an independent application of mind (Karnataka High Court in K-9 Enterprises, Writ Appeal No. 100425 of 2023), and under Rule 86A(3) the restriction ceases after one year.</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blocking under Rule 86A be lifted to the extent it covers interest and penalty and to the extent it exceeds the credit available in the electronic credit ledger; and that the reasons recorded, if any, be furnished to the noticee.</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2026-06-14T14:46:47.090Z</dcterms:created>
  <dcterms:modified xsi:type="dcterms:W3CDTF">2026-06-14T14:46:47.103Z</dcterms:modified>
</cp:coreProperties>
</file>

<file path=docProps/custom.xml><?xml version="1.0" encoding="utf-8"?>
<Properties xmlns="http://schemas.openxmlformats.org/officeDocument/2006/custom-properties" xmlns:vt="http://schemas.openxmlformats.org/officeDocument/2006/docPropsVTypes"/>
</file>