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Proper Officer,</w:t>
      </w:r>
    </w:p>
    <w:p>
      <w:pPr>
        <w:spacing w:after="160"/>
        <w:jc w:val="left"/>
      </w:pPr>
      <w:r>
        <w:rPr>
          <w:rFonts w:ascii="Times New Roman" w:cs="Times New Roman" w:eastAsia="Times New Roman" w:hAnsi="Times New Roman"/>
          <w:sz w:val="24"/>
          <w:szCs w:val="24"/>
        </w:rPr>
        <w:t xml:space="preserve">Goods and Services Tax Department, Bikaner,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Reference (SCN / DRC-01A)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alleging non-reversal of common input tax credit under Rule 42/43 read with Section 17(2) on mixed (taxable and exempt) supplies.</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levers: (1) reversal under Rule 42 applies only to COMMON credit; where inputs are exclusively used for taxable supply (T4) or exempt inputs are separately identified and not availed, there is no common credit (C2) to reverse. (2) Any reversal must be computed by the statutory formula (C1, T4, C2, D1, D2) — a blanket reversal on total ITC is bad in law.</w:t>
      </w:r>
    </w:p>
    <w:p>
      <w:pPr>
        <w:spacing w:after="80"/>
        <w:jc w:val="both"/>
      </w:pPr>
      <w:r>
        <w:rPr>
          <w:rFonts w:ascii="Times New Roman" w:cs="Times New Roman" w:eastAsia="Times New Roman" w:hAnsi="Times New Roman"/>
          <w:i/>
          <w:iCs/>
          <w:sz w:val="24"/>
          <w:szCs w:val="24"/>
        </w:rPr>
        <w:t xml:space="preserve">Authority: Calcutta HC in Hemraj Rice Mill — reversal ordered without applying the Rule 42/43 formula is unsustainable. Insert the noticee’s actual classification and computation; annex the working.</w:t>
      </w:r>
    </w:p>
    <w:p>
      <w:pPr>
        <w:spacing w:after="80"/>
        <w:jc w:val="both"/>
      </w:pPr>
      <w:r>
        <w:rPr>
          <w:rFonts w:ascii="Times New Roman" w:cs="Times New Roman" w:eastAsia="Times New Roman" w:hAnsi="Times New Roman"/>
          <w:i/>
          <w:iCs/>
          <w:sz w:val="24"/>
          <w:szCs w:val="24"/>
        </w:rPr>
        <w:t xml:space="preserve">If the alleged exempt turnover is interest/discount income, note the Explanation to Rule 43 excludes it from the exempt-supply aggregate for a non-banking taxpayer.</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Reversal under Rule 42 is required only of common input tax credit — that is, credit on inputs and input services used for both taxable and exempt supplies. The noticee’s inputs are either used exclusively for taxable supplies, or the credit attributable to exempt supplies has been separately identified and not availed. In any event, the proposed reversal has not been computed in accordance with the statutory formula and is therefore unsustainable.</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Only common credit is reversible. </w:t>
      </w:r>
      <w:r>
        <w:rPr>
          <w:rFonts w:ascii="Times New Roman" w:cs="Times New Roman" w:eastAsia="Times New Roman" w:hAnsi="Times New Roman"/>
          <w:sz w:val="24"/>
          <w:szCs w:val="24"/>
        </w:rPr>
        <w:t xml:space="preserve">Section 17(2) restricts credit to the part attributable to taxable (including zero-rated) supplies. Rule 42 operates only on common credit (C2 = C1 − T4), after excluding credit used exclusively for taxable supplies (T4) and credit on inputs used exclusively for exempt supplies (T2). Where there is no common credit, there is nothing to reverse.</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Reversal must follow the statutory formula. </w:t>
      </w:r>
      <w:r>
        <w:rPr>
          <w:rFonts w:ascii="Times New Roman" w:cs="Times New Roman" w:eastAsia="Times New Roman" w:hAnsi="Times New Roman"/>
          <w:sz w:val="24"/>
          <w:szCs w:val="24"/>
        </w:rPr>
        <w:t xml:space="preserve">Any reversal must be worked through the prescribed steps — segregation of T1, T2 and T3, computation of C1, identification of T4, derivation of C2, and the proportionate D1 and D2 — with the annual true-up. A blanket reversal computed on total credit, without applying the formula, is contrary to Rule 42. Reliance is placed on the decision of the Calcutta High Court in Hemraj Rice Mill (WPA 3159 of 2025, 16.06.2025), where such an ad hoc reversal was set aside and the matter remanded for application of the statutory formula.</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Computation in the present case. </w:t>
      </w:r>
      <w:r>
        <w:rPr>
          <w:rFonts w:ascii="Times New Roman" w:cs="Times New Roman" w:eastAsia="Times New Roman" w:hAnsi="Times New Roman"/>
          <w:sz w:val="24"/>
          <w:szCs w:val="24"/>
        </w:rPr>
        <w:t xml:space="preserve">The noticee’s working under Rule 42/43 is annexed, demonstrating that the credit attributable to exempt supplies has been correctly reversed / that no common credit arises. To the extent any exempt turnover is interest or discount income, it is excluded from the aggregate value of exempt supplies under the Explanation to Rule 43.</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proposed reversal be dropped, the noticee having correctly applied Rule 42/43; and that an opportunity of personal hearing be granted before any adverse order.</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2026-06-14T14:46:47.322Z</dcterms:created>
  <dcterms:modified xsi:type="dcterms:W3CDTF">2026-06-14T14:46:47.322Z</dcterms:modified>
</cp:coreProperties>
</file>

<file path=docProps/custom.xml><?xml version="1.0" encoding="utf-8"?>
<Properties xmlns="http://schemas.openxmlformats.org/officeDocument/2006/custom-properties" xmlns:vt="http://schemas.openxmlformats.org/officeDocument/2006/docPropsVTypes"/>
</file>